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4" w:rsidRDefault="00AB2BF4" w:rsidP="00BA33D3">
      <w:pPr>
        <w:jc w:val="center"/>
        <w:rPr>
          <w:rFonts w:cs="Times New Roman"/>
          <w:b/>
          <w:sz w:val="32"/>
          <w:szCs w:val="32"/>
        </w:rPr>
      </w:pPr>
      <w:r>
        <w:rPr>
          <w:rFonts w:cs="Times New Roman"/>
          <w:b/>
          <w:sz w:val="32"/>
          <w:szCs w:val="32"/>
        </w:rPr>
        <w:t xml:space="preserve">COUNTER TERRORISM AND BORDER SECURITY BILL:  </w:t>
      </w:r>
      <w:r w:rsidR="009E5736">
        <w:rPr>
          <w:rFonts w:cs="Times New Roman"/>
          <w:b/>
          <w:sz w:val="32"/>
          <w:szCs w:val="32"/>
        </w:rPr>
        <w:t>SUBMISSION IN RELATION TO</w:t>
      </w:r>
      <w:r w:rsidRPr="00AB2BF4">
        <w:rPr>
          <w:rFonts w:cs="Times New Roman"/>
          <w:b/>
          <w:sz w:val="32"/>
          <w:szCs w:val="32"/>
        </w:rPr>
        <w:t xml:space="preserve"> </w:t>
      </w:r>
      <w:r w:rsidR="00546A84">
        <w:rPr>
          <w:rFonts w:cs="Times New Roman"/>
          <w:b/>
          <w:sz w:val="32"/>
          <w:szCs w:val="32"/>
        </w:rPr>
        <w:t>CLAUSE 3</w:t>
      </w:r>
    </w:p>
    <w:p w:rsidR="009E5736" w:rsidRPr="00AB2BF4" w:rsidRDefault="009E5736" w:rsidP="00BA33D3">
      <w:pPr>
        <w:jc w:val="center"/>
        <w:rPr>
          <w:rFonts w:cs="Times New Roman"/>
          <w:b/>
          <w:sz w:val="32"/>
          <w:szCs w:val="32"/>
        </w:rPr>
      </w:pPr>
      <w:r>
        <w:rPr>
          <w:rFonts w:cs="Times New Roman"/>
          <w:b/>
          <w:sz w:val="32"/>
          <w:szCs w:val="32"/>
        </w:rPr>
        <w:t>BY MAX HILL QC AND PROFESSOR CLIVE WALKER</w:t>
      </w:r>
    </w:p>
    <w:p w:rsidR="00BA33D3" w:rsidRDefault="00BA33D3" w:rsidP="002A237B">
      <w:pPr>
        <w:rPr>
          <w:rFonts w:cs="Times New Roman"/>
          <w:szCs w:val="24"/>
        </w:rPr>
      </w:pPr>
    </w:p>
    <w:p w:rsidR="00AB2BF4" w:rsidRPr="00AB2BF4" w:rsidRDefault="00AB2BF4" w:rsidP="002A237B">
      <w:pPr>
        <w:rPr>
          <w:rFonts w:cs="Times New Roman"/>
          <w:szCs w:val="24"/>
        </w:rPr>
      </w:pPr>
    </w:p>
    <w:tbl>
      <w:tblPr>
        <w:tblStyle w:val="TableGrid"/>
        <w:tblW w:w="0" w:type="auto"/>
        <w:tblLook w:val="04A0"/>
      </w:tblPr>
      <w:tblGrid>
        <w:gridCol w:w="9242"/>
      </w:tblGrid>
      <w:tr w:rsidR="00BA33D3" w:rsidRPr="00AB2BF4" w:rsidTr="00BA33D3">
        <w:tc>
          <w:tcPr>
            <w:tcW w:w="9242" w:type="dxa"/>
          </w:tcPr>
          <w:p w:rsidR="00AB2BF4" w:rsidRDefault="00AB2BF4" w:rsidP="00BA33D3">
            <w:pPr>
              <w:rPr>
                <w:rFonts w:cs="Times New Roman"/>
                <w:b/>
                <w:szCs w:val="24"/>
              </w:rPr>
            </w:pPr>
          </w:p>
          <w:p w:rsidR="00BA33D3" w:rsidRPr="00AB2BF4" w:rsidRDefault="00BA33D3" w:rsidP="00BA33D3">
            <w:pPr>
              <w:rPr>
                <w:rFonts w:cs="Times New Roman"/>
                <w:b/>
                <w:szCs w:val="24"/>
              </w:rPr>
            </w:pPr>
            <w:r w:rsidRPr="00AB2BF4">
              <w:rPr>
                <w:rFonts w:cs="Times New Roman"/>
                <w:b/>
                <w:szCs w:val="24"/>
              </w:rPr>
              <w:t>Terrorism Act 2000 section 58: Collection of information.</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(1) A person commits an offence if—</w:t>
            </w:r>
          </w:p>
          <w:p w:rsidR="00BA33D3" w:rsidRPr="00AB2BF4" w:rsidRDefault="00BA33D3" w:rsidP="00BA33D3">
            <w:pPr>
              <w:rPr>
                <w:rFonts w:cs="Times New Roman"/>
                <w:szCs w:val="24"/>
              </w:rPr>
            </w:pPr>
            <w:r w:rsidRPr="00AB2BF4">
              <w:rPr>
                <w:rFonts w:cs="Times New Roman"/>
                <w:szCs w:val="24"/>
              </w:rPr>
              <w:t>(a) he collects or makes a record of information of a kind likely to be useful to a person committing or preparing an act of terrorism, or</w:t>
            </w:r>
          </w:p>
          <w:p w:rsidR="00BA33D3" w:rsidRPr="00AB2BF4" w:rsidRDefault="00BA33D3" w:rsidP="00BA33D3">
            <w:pPr>
              <w:rPr>
                <w:rFonts w:cs="Times New Roman"/>
                <w:szCs w:val="24"/>
              </w:rPr>
            </w:pPr>
            <w:r w:rsidRPr="00AB2BF4">
              <w:rPr>
                <w:rFonts w:cs="Times New Roman"/>
                <w:szCs w:val="24"/>
              </w:rPr>
              <w:t>(b) he possesses a document or record containing information of that kind.</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(2) In this section “record” includes a photographic or electronic record.</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(3) It is a defence for a person charged with an offence under this section to prove that he had a reasonable excuse for his action or possession.</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(4) A person guilty of an offence under this section shall be liable—</w:t>
            </w:r>
          </w:p>
          <w:p w:rsidR="00BA33D3" w:rsidRPr="00AB2BF4" w:rsidRDefault="00BA33D3" w:rsidP="00BA33D3">
            <w:pPr>
              <w:rPr>
                <w:rFonts w:cs="Times New Roman"/>
                <w:szCs w:val="24"/>
              </w:rPr>
            </w:pPr>
            <w:r w:rsidRPr="00AB2BF4">
              <w:rPr>
                <w:rFonts w:cs="Times New Roman"/>
                <w:szCs w:val="24"/>
              </w:rPr>
              <w:t>(a) on conviction on indictment, to imprisonment for a term not exceeding 10 years, to a fine or to both, or</w:t>
            </w:r>
          </w:p>
          <w:p w:rsidR="00BA33D3" w:rsidRPr="00AB2BF4" w:rsidRDefault="00BA33D3" w:rsidP="00BA33D3">
            <w:pPr>
              <w:rPr>
                <w:rFonts w:cs="Times New Roman"/>
                <w:szCs w:val="24"/>
              </w:rPr>
            </w:pPr>
            <w:r w:rsidRPr="00AB2BF4">
              <w:rPr>
                <w:rFonts w:cs="Times New Roman"/>
                <w:szCs w:val="24"/>
              </w:rPr>
              <w:t xml:space="preserve">(b) on summary conviction, to imprisonment for a term not exceeding six months, to a fine not exceeding the statutory maximum or to both. </w:t>
            </w:r>
          </w:p>
          <w:p w:rsidR="00BA33D3" w:rsidRPr="00AB2BF4" w:rsidRDefault="00BA33D3" w:rsidP="00BA33D3">
            <w:pPr>
              <w:rPr>
                <w:rFonts w:cs="Times New Roman"/>
                <w:b/>
                <w:szCs w:val="24"/>
              </w:rPr>
            </w:pPr>
          </w:p>
        </w:tc>
      </w:tr>
      <w:tr w:rsidR="00BA33D3" w:rsidRPr="00AB2BF4" w:rsidTr="00BA33D3">
        <w:tc>
          <w:tcPr>
            <w:tcW w:w="9242" w:type="dxa"/>
          </w:tcPr>
          <w:p w:rsidR="00AB2BF4" w:rsidRDefault="00AB2BF4" w:rsidP="00BA33D3">
            <w:pPr>
              <w:rPr>
                <w:rFonts w:cs="Times New Roman"/>
                <w:b/>
                <w:szCs w:val="24"/>
              </w:rPr>
            </w:pPr>
          </w:p>
          <w:p w:rsidR="00BA33D3" w:rsidRPr="00AB2BF4" w:rsidRDefault="00BA33D3" w:rsidP="00BA33D3">
            <w:pPr>
              <w:rPr>
                <w:rFonts w:cs="Times New Roman"/>
                <w:b/>
                <w:szCs w:val="24"/>
              </w:rPr>
            </w:pPr>
            <w:r w:rsidRPr="00AB2BF4">
              <w:rPr>
                <w:rFonts w:cs="Times New Roman"/>
                <w:b/>
                <w:szCs w:val="24"/>
              </w:rPr>
              <w:t>Bill Clause 3: Obtaining or viewing material over the internet</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(1) Section 58 of the Terrorism Act 2000 (collection of information) is amended as follows.</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(2) In subsection (1)—</w:t>
            </w:r>
          </w:p>
          <w:p w:rsidR="00BA33D3" w:rsidRPr="00AB2BF4" w:rsidRDefault="00BA33D3" w:rsidP="00BA33D3">
            <w:pPr>
              <w:rPr>
                <w:rFonts w:cs="Times New Roman"/>
                <w:szCs w:val="24"/>
              </w:rPr>
            </w:pPr>
            <w:r w:rsidRPr="00AB2BF4">
              <w:rPr>
                <w:rFonts w:cs="Times New Roman"/>
                <w:szCs w:val="24"/>
              </w:rPr>
              <w:t>(a) omit “or” at the end of paragraph (a);</w:t>
            </w:r>
          </w:p>
          <w:p w:rsidR="00BA33D3" w:rsidRPr="00AB2BF4" w:rsidRDefault="00BA33D3" w:rsidP="00BA33D3">
            <w:pPr>
              <w:rPr>
                <w:rFonts w:cs="Times New Roman"/>
                <w:szCs w:val="24"/>
              </w:rPr>
            </w:pPr>
            <w:r w:rsidRPr="00AB2BF4">
              <w:rPr>
                <w:rFonts w:cs="Times New Roman"/>
                <w:szCs w:val="24"/>
              </w:rPr>
              <w:t>(b) after paragraph (b) insert “, or</w:t>
            </w:r>
          </w:p>
          <w:p w:rsidR="00BA33D3" w:rsidRPr="00AB2BF4" w:rsidRDefault="00BA33D3" w:rsidP="00BA33D3">
            <w:pPr>
              <w:rPr>
                <w:rFonts w:cs="Times New Roman"/>
                <w:szCs w:val="24"/>
              </w:rPr>
            </w:pPr>
            <w:r w:rsidRPr="00AB2BF4">
              <w:rPr>
                <w:rFonts w:cs="Times New Roman"/>
                <w:szCs w:val="24"/>
              </w:rPr>
              <w:t>(c) on three or more different occasions the person views by means of the internet a document or record containing information of that kind.”</w:t>
            </w:r>
          </w:p>
          <w:p w:rsidR="00BA33D3" w:rsidRPr="00AB2BF4" w:rsidRDefault="00BA33D3" w:rsidP="00BA33D3">
            <w:pPr>
              <w:rPr>
                <w:rFonts w:cs="Times New Roman"/>
                <w:szCs w:val="24"/>
              </w:rPr>
            </w:pPr>
          </w:p>
          <w:p w:rsidR="00BA33D3" w:rsidRPr="00AB2BF4" w:rsidRDefault="00BA33D3" w:rsidP="00BA33D3">
            <w:pPr>
              <w:rPr>
                <w:rFonts w:cs="Times New Roman"/>
                <w:szCs w:val="24"/>
              </w:rPr>
            </w:pPr>
            <w:r w:rsidRPr="00AB2BF4">
              <w:rPr>
                <w:rFonts w:cs="Times New Roman"/>
                <w:szCs w:val="24"/>
              </w:rPr>
              <w:t>(3) After subsection (1) insert—</w:t>
            </w:r>
          </w:p>
          <w:p w:rsidR="00BA33D3" w:rsidRPr="00AB2BF4" w:rsidRDefault="00BA33D3" w:rsidP="00BA33D3">
            <w:pPr>
              <w:rPr>
                <w:rFonts w:cs="Times New Roman"/>
                <w:szCs w:val="24"/>
              </w:rPr>
            </w:pPr>
            <w:r w:rsidRPr="00AB2BF4">
              <w:rPr>
                <w:rFonts w:cs="Times New Roman"/>
                <w:szCs w:val="24"/>
              </w:rPr>
              <w:t>“(1A) The cases in which a person collects or makes a record for the purposes of subsection (1)(a) include those where—</w:t>
            </w:r>
          </w:p>
          <w:p w:rsidR="00BA33D3" w:rsidRPr="00AB2BF4" w:rsidRDefault="00BA33D3" w:rsidP="00BA33D3">
            <w:pPr>
              <w:rPr>
                <w:rFonts w:cs="Times New Roman"/>
                <w:szCs w:val="24"/>
              </w:rPr>
            </w:pPr>
            <w:r w:rsidRPr="00AB2BF4">
              <w:rPr>
                <w:rFonts w:cs="Times New Roman"/>
                <w:szCs w:val="24"/>
              </w:rPr>
              <w:t>(a) the person does so by means of the internet (whether by downloading the record or otherwise), and</w:t>
            </w:r>
          </w:p>
          <w:p w:rsidR="00BA33D3" w:rsidRPr="00AB2BF4" w:rsidRDefault="00BA33D3" w:rsidP="00BA33D3">
            <w:pPr>
              <w:rPr>
                <w:rFonts w:cs="Times New Roman"/>
                <w:szCs w:val="24"/>
              </w:rPr>
            </w:pPr>
            <w:r w:rsidRPr="00AB2BF4">
              <w:rPr>
                <w:rFonts w:cs="Times New Roman"/>
                <w:szCs w:val="24"/>
              </w:rPr>
              <w:t>(b) when doing so the person knows, or has reason to believe, that the record contains, or is likely to contain, information of the kind mentioned in subsection (1)(a).</w:t>
            </w:r>
          </w:p>
          <w:p w:rsidR="00BA33D3" w:rsidRPr="00AB2BF4" w:rsidRDefault="00BA33D3" w:rsidP="00BA33D3">
            <w:pPr>
              <w:rPr>
                <w:rFonts w:cs="Times New Roman"/>
                <w:szCs w:val="24"/>
              </w:rPr>
            </w:pPr>
            <w:r w:rsidRPr="00AB2BF4">
              <w:rPr>
                <w:rFonts w:cs="Times New Roman"/>
                <w:szCs w:val="24"/>
              </w:rPr>
              <w:t>(1B) It does not matter for the purposes of subsection (1)(c) whether it is the same document or record that is viewed on each occasion or whether a different document or record is viewed.”</w:t>
            </w:r>
          </w:p>
          <w:p w:rsidR="00BA33D3" w:rsidRPr="00AB2BF4" w:rsidRDefault="00BA33D3" w:rsidP="00BA33D3">
            <w:pPr>
              <w:rPr>
                <w:rFonts w:cs="Times New Roman"/>
                <w:b/>
                <w:szCs w:val="24"/>
              </w:rPr>
            </w:pPr>
          </w:p>
        </w:tc>
      </w:tr>
    </w:tbl>
    <w:p w:rsidR="00BA33D3" w:rsidRPr="00AB2BF4" w:rsidRDefault="00BA33D3" w:rsidP="002A237B">
      <w:pPr>
        <w:rPr>
          <w:rFonts w:cs="Times New Roman"/>
          <w:szCs w:val="24"/>
        </w:rPr>
      </w:pPr>
    </w:p>
    <w:p w:rsidR="00BA33D3" w:rsidRPr="00AB2BF4" w:rsidRDefault="00BA33D3" w:rsidP="00BA33D3">
      <w:pPr>
        <w:rPr>
          <w:rFonts w:cs="Times New Roman"/>
          <w:szCs w:val="24"/>
        </w:rPr>
      </w:pPr>
    </w:p>
    <w:p w:rsidR="00AB2BF4" w:rsidRDefault="00AB2BF4">
      <w:pPr>
        <w:spacing w:line="240" w:lineRule="atLeast"/>
        <w:jc w:val="both"/>
        <w:rPr>
          <w:rFonts w:cs="Times New Roman"/>
          <w:szCs w:val="24"/>
        </w:rPr>
      </w:pPr>
      <w:r>
        <w:rPr>
          <w:rFonts w:cs="Times New Roman"/>
          <w:szCs w:val="24"/>
        </w:rPr>
        <w:br w:type="page"/>
      </w:r>
    </w:p>
    <w:p w:rsidR="00BA33D3" w:rsidRPr="00AB2BF4" w:rsidRDefault="00BA33D3" w:rsidP="00EF791A">
      <w:pPr>
        <w:jc w:val="both"/>
        <w:rPr>
          <w:rFonts w:cs="Times New Roman"/>
          <w:szCs w:val="24"/>
        </w:rPr>
      </w:pPr>
      <w:r w:rsidRPr="00AB2BF4">
        <w:rPr>
          <w:rFonts w:cs="Times New Roman"/>
          <w:szCs w:val="24"/>
        </w:rPr>
        <w:lastRenderedPageBreak/>
        <w:t xml:space="preserve">1 </w:t>
      </w:r>
      <w:r w:rsidR="008F2132">
        <w:rPr>
          <w:rFonts w:cs="Times New Roman"/>
          <w:szCs w:val="24"/>
        </w:rPr>
        <w:t xml:space="preserve"> </w:t>
      </w:r>
      <w:r w:rsidR="008F2132">
        <w:rPr>
          <w:rFonts w:cs="Times New Roman"/>
          <w:szCs w:val="24"/>
        </w:rPr>
        <w:tab/>
      </w:r>
      <w:r w:rsidR="009E5736">
        <w:rPr>
          <w:rFonts w:cs="Times New Roman"/>
          <w:szCs w:val="24"/>
        </w:rPr>
        <w:t>This paper follows evidence given to the Bill Scrutiny Committee on 26</w:t>
      </w:r>
      <w:r w:rsidR="009E5736" w:rsidRPr="009E5736">
        <w:rPr>
          <w:rFonts w:cs="Times New Roman"/>
          <w:szCs w:val="24"/>
          <w:vertAlign w:val="superscript"/>
        </w:rPr>
        <w:t>th</w:t>
      </w:r>
      <w:r w:rsidR="009E5736">
        <w:rPr>
          <w:rFonts w:cs="Times New Roman"/>
          <w:szCs w:val="24"/>
        </w:rPr>
        <w:t xml:space="preserve"> June 2018 by Max Hill QC, Independent Reviewer of Terrorism Legislation. Together with Professor Clive Walker QC (Hon), Senior Special Adviser to the Independent Reviewer</w:t>
      </w:r>
      <w:proofErr w:type="gramStart"/>
      <w:r w:rsidR="009E5736">
        <w:rPr>
          <w:rFonts w:cs="Times New Roman"/>
          <w:szCs w:val="24"/>
        </w:rPr>
        <w:t xml:space="preserve">, </w:t>
      </w:r>
      <w:r w:rsidRPr="00AB2BF4">
        <w:rPr>
          <w:rFonts w:cs="Times New Roman"/>
          <w:szCs w:val="24"/>
        </w:rPr>
        <w:t xml:space="preserve"> </w:t>
      </w:r>
      <w:r w:rsidR="009E5736">
        <w:rPr>
          <w:rFonts w:cs="Times New Roman"/>
          <w:szCs w:val="24"/>
        </w:rPr>
        <w:t>the</w:t>
      </w:r>
      <w:proofErr w:type="gramEnd"/>
      <w:r w:rsidR="009E5736">
        <w:rPr>
          <w:rFonts w:cs="Times New Roman"/>
          <w:szCs w:val="24"/>
        </w:rPr>
        <w:t xml:space="preserve"> </w:t>
      </w:r>
      <w:r w:rsidRPr="00AB2BF4">
        <w:rPr>
          <w:rFonts w:cs="Times New Roman"/>
          <w:szCs w:val="24"/>
        </w:rPr>
        <w:t>premise of this paper is t</w:t>
      </w:r>
      <w:r w:rsidR="00217EEB">
        <w:rPr>
          <w:rFonts w:cs="Times New Roman"/>
          <w:szCs w:val="24"/>
        </w:rPr>
        <w:t xml:space="preserve">o ask the question, if a new variant of section 58 is needed at all, what might that look like </w:t>
      </w:r>
      <w:r w:rsidRPr="00AB2BF4">
        <w:rPr>
          <w:rFonts w:cs="Times New Roman"/>
          <w:szCs w:val="24"/>
        </w:rPr>
        <w:t>?</w:t>
      </w:r>
      <w:r w:rsidR="00280C64">
        <w:rPr>
          <w:rStyle w:val="FootnoteReference"/>
          <w:rFonts w:cs="Times New Roman"/>
          <w:szCs w:val="24"/>
        </w:rPr>
        <w:footnoteReference w:id="1"/>
      </w:r>
    </w:p>
    <w:p w:rsidR="00BA33D3" w:rsidRDefault="00BA33D3" w:rsidP="00EF791A">
      <w:pPr>
        <w:jc w:val="both"/>
        <w:rPr>
          <w:rFonts w:cs="Times New Roman"/>
          <w:szCs w:val="24"/>
        </w:rPr>
      </w:pPr>
    </w:p>
    <w:p w:rsidR="008F2132" w:rsidRPr="00AB2BF4" w:rsidRDefault="008F2132" w:rsidP="00EF791A">
      <w:pPr>
        <w:jc w:val="both"/>
        <w:rPr>
          <w:rFonts w:cs="Times New Roman"/>
          <w:szCs w:val="24"/>
        </w:rPr>
      </w:pPr>
    </w:p>
    <w:p w:rsidR="00BA33D3" w:rsidRPr="00AB2BF4" w:rsidRDefault="00BA33D3" w:rsidP="00EF791A">
      <w:pPr>
        <w:pStyle w:val="Default"/>
        <w:jc w:val="both"/>
        <w:rPr>
          <w:rFonts w:ascii="Times New Roman" w:hAnsi="Times New Roman" w:cs="Times New Roman"/>
        </w:rPr>
      </w:pPr>
      <w:r w:rsidRPr="00AB2BF4">
        <w:rPr>
          <w:rFonts w:ascii="Times New Roman" w:hAnsi="Times New Roman" w:cs="Times New Roman"/>
        </w:rPr>
        <w:t xml:space="preserve">2 </w:t>
      </w:r>
      <w:r w:rsidR="008F2132">
        <w:rPr>
          <w:rFonts w:ascii="Times New Roman" w:hAnsi="Times New Roman" w:cs="Times New Roman"/>
        </w:rPr>
        <w:t xml:space="preserve"> </w:t>
      </w:r>
      <w:r w:rsidR="008F2132">
        <w:rPr>
          <w:rFonts w:ascii="Times New Roman" w:hAnsi="Times New Roman" w:cs="Times New Roman"/>
        </w:rPr>
        <w:tab/>
      </w:r>
      <w:r w:rsidRPr="00AB2BF4">
        <w:rPr>
          <w:rFonts w:ascii="Times New Roman" w:hAnsi="Times New Roman" w:cs="Times New Roman"/>
        </w:rPr>
        <w:t>The fundamental question is whether any reforms are needed</w:t>
      </w:r>
      <w:r w:rsidR="00280C64">
        <w:rPr>
          <w:rFonts w:ascii="Times New Roman" w:hAnsi="Times New Roman" w:cs="Times New Roman"/>
        </w:rPr>
        <w:t xml:space="preserve"> at all</w:t>
      </w:r>
      <w:r w:rsidRPr="00AB2BF4">
        <w:rPr>
          <w:rFonts w:ascii="Times New Roman" w:hAnsi="Times New Roman" w:cs="Times New Roman"/>
        </w:rPr>
        <w:t xml:space="preserve">. </w:t>
      </w:r>
      <w:r w:rsidR="00DC31B4">
        <w:rPr>
          <w:rFonts w:ascii="Times New Roman" w:hAnsi="Times New Roman" w:cs="Times New Roman"/>
        </w:rPr>
        <w:t>In response, i</w:t>
      </w:r>
      <w:r w:rsidR="00EF791A">
        <w:rPr>
          <w:rFonts w:ascii="Times New Roman" w:hAnsi="Times New Roman" w:cs="Times New Roman"/>
        </w:rPr>
        <w:t xml:space="preserve">t has not been proven </w:t>
      </w:r>
      <w:r w:rsidR="00280C64">
        <w:rPr>
          <w:rFonts w:ascii="Times New Roman" w:hAnsi="Times New Roman" w:cs="Times New Roman"/>
        </w:rPr>
        <w:t xml:space="preserve">that </w:t>
      </w:r>
      <w:r w:rsidRPr="00AB2BF4">
        <w:rPr>
          <w:rFonts w:ascii="Times New Roman" w:hAnsi="Times New Roman" w:cs="Times New Roman"/>
        </w:rPr>
        <w:t xml:space="preserve">significant </w:t>
      </w:r>
      <w:r w:rsidR="00280C64">
        <w:rPr>
          <w:rFonts w:ascii="Times New Roman" w:hAnsi="Times New Roman" w:cs="Times New Roman"/>
        </w:rPr>
        <w:t xml:space="preserve">criminal law </w:t>
      </w:r>
      <w:r w:rsidRPr="00AB2BF4">
        <w:rPr>
          <w:rFonts w:ascii="Times New Roman" w:hAnsi="Times New Roman" w:cs="Times New Roman"/>
        </w:rPr>
        <w:t>extension is needed</w:t>
      </w:r>
      <w:r w:rsidR="00AB2BF4" w:rsidRPr="00AB2BF4">
        <w:rPr>
          <w:rFonts w:ascii="Times New Roman" w:hAnsi="Times New Roman" w:cs="Times New Roman"/>
        </w:rPr>
        <w:t>, as is engineered by clause 3</w:t>
      </w:r>
      <w:r w:rsidR="00280C64">
        <w:rPr>
          <w:rFonts w:ascii="Times New Roman" w:hAnsi="Times New Roman" w:cs="Times New Roman"/>
        </w:rPr>
        <w:t xml:space="preserve">. That </w:t>
      </w:r>
      <w:r w:rsidR="00EF791A">
        <w:rPr>
          <w:rFonts w:ascii="Times New Roman" w:hAnsi="Times New Roman" w:cs="Times New Roman"/>
        </w:rPr>
        <w:t>need</w:t>
      </w:r>
      <w:r w:rsidR="00280C64">
        <w:rPr>
          <w:rFonts w:ascii="Times New Roman" w:hAnsi="Times New Roman" w:cs="Times New Roman"/>
        </w:rPr>
        <w:t xml:space="preserve"> should be judged in the light of the high rate of success for prosecutions of a range of other offences which cover precursor activities – especia</w:t>
      </w:r>
      <w:r w:rsidR="009E5736">
        <w:rPr>
          <w:rFonts w:ascii="Times New Roman" w:hAnsi="Times New Roman" w:cs="Times New Roman"/>
        </w:rPr>
        <w:t>lly under the Terrorism Act 2006</w:t>
      </w:r>
      <w:r w:rsidR="00280C64">
        <w:rPr>
          <w:rFonts w:ascii="Times New Roman" w:hAnsi="Times New Roman" w:cs="Times New Roman"/>
        </w:rPr>
        <w:t xml:space="preserve">, sections 1, 2 and 5. The frequency and success of such prosecutions suggests strongly that most forms of precursor activities are being adequately addressed by the existing criminal law. It is also notable that the </w:t>
      </w:r>
      <w:r w:rsidR="00280C64" w:rsidRPr="00280C64">
        <w:rPr>
          <w:rFonts w:ascii="Times New Roman" w:hAnsi="Times New Roman" w:cs="Times New Roman"/>
          <w:i/>
        </w:rPr>
        <w:t>Impact Assessment</w:t>
      </w:r>
      <w:r w:rsidR="00280C64">
        <w:rPr>
          <w:rFonts w:ascii="Times New Roman" w:hAnsi="Times New Roman" w:cs="Times New Roman"/>
        </w:rPr>
        <w:t xml:space="preserve"> in relation to the Bill was unable to identify with certainty any rate of prosecutions for the new offence.</w:t>
      </w:r>
      <w:r w:rsidR="00280C64">
        <w:rPr>
          <w:rStyle w:val="FootnoteReference"/>
          <w:rFonts w:cs="Times New Roman"/>
        </w:rPr>
        <w:footnoteReference w:id="2"/>
      </w:r>
      <w:r w:rsidR="00280C64">
        <w:rPr>
          <w:rFonts w:ascii="Times New Roman" w:hAnsi="Times New Roman" w:cs="Times New Roman"/>
        </w:rPr>
        <w:t xml:space="preserve"> By contrast, m</w:t>
      </w:r>
      <w:r w:rsidR="00AB2BF4" w:rsidRPr="00AB2BF4">
        <w:rPr>
          <w:rFonts w:ascii="Times New Roman" w:hAnsi="Times New Roman" w:cs="Times New Roman"/>
        </w:rPr>
        <w:t>ore minor adjustments may be necessary to take account of technological development and so to ‘update for the digital age’</w:t>
      </w:r>
      <w:r w:rsidR="00AB2BF4">
        <w:rPr>
          <w:rFonts w:ascii="Times New Roman" w:hAnsi="Times New Roman" w:cs="Times New Roman"/>
        </w:rPr>
        <w:t>.</w:t>
      </w:r>
      <w:r w:rsidR="00AB2BF4">
        <w:rPr>
          <w:rStyle w:val="FootnoteReference"/>
          <w:rFonts w:cs="Times New Roman"/>
        </w:rPr>
        <w:footnoteReference w:id="3"/>
      </w:r>
      <w:r w:rsidR="00AB2BF4" w:rsidRPr="00AB2BF4">
        <w:rPr>
          <w:rFonts w:ascii="Times New Roman" w:hAnsi="Times New Roman" w:cs="Times New Roman"/>
        </w:rPr>
        <w:t xml:space="preserve"> </w:t>
      </w:r>
      <w:r w:rsidR="00280C64">
        <w:rPr>
          <w:rFonts w:ascii="Times New Roman" w:hAnsi="Times New Roman" w:cs="Times New Roman"/>
        </w:rPr>
        <w:t>D</w:t>
      </w:r>
      <w:r w:rsidRPr="00AB2BF4">
        <w:rPr>
          <w:rFonts w:ascii="Times New Roman" w:hAnsi="Times New Roman" w:cs="Times New Roman"/>
        </w:rPr>
        <w:t xml:space="preserve">oubts </w:t>
      </w:r>
      <w:r w:rsidR="00DC31B4">
        <w:rPr>
          <w:rFonts w:ascii="Times New Roman" w:hAnsi="Times New Roman" w:cs="Times New Roman"/>
        </w:rPr>
        <w:t>around</w:t>
      </w:r>
      <w:r w:rsidR="00280C64">
        <w:rPr>
          <w:rFonts w:ascii="Times New Roman" w:hAnsi="Times New Roman" w:cs="Times New Roman"/>
        </w:rPr>
        <w:t xml:space="preserve"> the necessity for a new offence (or </w:t>
      </w:r>
      <w:r w:rsidR="00DC31B4">
        <w:rPr>
          <w:rFonts w:ascii="Times New Roman" w:hAnsi="Times New Roman" w:cs="Times New Roman"/>
        </w:rPr>
        <w:t xml:space="preserve">substantially </w:t>
      </w:r>
      <w:r w:rsidR="00280C64">
        <w:rPr>
          <w:rFonts w:ascii="Times New Roman" w:hAnsi="Times New Roman" w:cs="Times New Roman"/>
        </w:rPr>
        <w:t>new variant</w:t>
      </w:r>
      <w:r w:rsidR="00DC31B4">
        <w:rPr>
          <w:rFonts w:ascii="Times New Roman" w:hAnsi="Times New Roman" w:cs="Times New Roman"/>
        </w:rPr>
        <w:t xml:space="preserve"> of the existing offence</w:t>
      </w:r>
      <w:r w:rsidR="00280C64">
        <w:rPr>
          <w:rFonts w:ascii="Times New Roman" w:hAnsi="Times New Roman" w:cs="Times New Roman"/>
        </w:rPr>
        <w:t xml:space="preserve">) </w:t>
      </w:r>
      <w:r w:rsidRPr="00AB2BF4">
        <w:rPr>
          <w:rFonts w:ascii="Times New Roman" w:hAnsi="Times New Roman" w:cs="Times New Roman"/>
        </w:rPr>
        <w:t>arise because of reasons of principle and practicality</w:t>
      </w:r>
      <w:r w:rsidR="009E5736">
        <w:rPr>
          <w:rFonts w:ascii="Times New Roman" w:hAnsi="Times New Roman" w:cs="Times New Roman"/>
        </w:rPr>
        <w:t>, about which the Independent Reviewer gave evidence both to the Bill Scrutiny Committee on 26</w:t>
      </w:r>
      <w:r w:rsidR="009E5736" w:rsidRPr="009E5736">
        <w:rPr>
          <w:rFonts w:ascii="Times New Roman" w:hAnsi="Times New Roman" w:cs="Times New Roman"/>
          <w:vertAlign w:val="superscript"/>
        </w:rPr>
        <w:t>th</w:t>
      </w:r>
      <w:r w:rsidR="009E5736">
        <w:rPr>
          <w:rFonts w:ascii="Times New Roman" w:hAnsi="Times New Roman" w:cs="Times New Roman"/>
        </w:rPr>
        <w:t xml:space="preserve"> June 2018, and at greater length to the Joint Committee for Human Rights on 20</w:t>
      </w:r>
      <w:r w:rsidR="009E5736" w:rsidRPr="009E5736">
        <w:rPr>
          <w:rFonts w:ascii="Times New Roman" w:hAnsi="Times New Roman" w:cs="Times New Roman"/>
          <w:vertAlign w:val="superscript"/>
        </w:rPr>
        <w:t>th</w:t>
      </w:r>
      <w:r w:rsidR="009E5736">
        <w:rPr>
          <w:rFonts w:ascii="Times New Roman" w:hAnsi="Times New Roman" w:cs="Times New Roman"/>
        </w:rPr>
        <w:t xml:space="preserve"> June 2018. </w:t>
      </w:r>
    </w:p>
    <w:p w:rsidR="00280C64" w:rsidRDefault="00280C64" w:rsidP="00EF791A">
      <w:pPr>
        <w:autoSpaceDE w:val="0"/>
        <w:autoSpaceDN w:val="0"/>
        <w:adjustRightInd w:val="0"/>
        <w:jc w:val="both"/>
        <w:rPr>
          <w:rFonts w:cs="Times New Roman"/>
          <w:szCs w:val="24"/>
        </w:rPr>
      </w:pPr>
    </w:p>
    <w:p w:rsidR="00AD2396" w:rsidRPr="00280C64" w:rsidRDefault="00EF791A" w:rsidP="00EF791A">
      <w:pPr>
        <w:autoSpaceDE w:val="0"/>
        <w:autoSpaceDN w:val="0"/>
        <w:adjustRightInd w:val="0"/>
        <w:jc w:val="both"/>
        <w:rPr>
          <w:rFonts w:cs="Times New Roman"/>
          <w:szCs w:val="24"/>
        </w:rPr>
      </w:pPr>
      <w:r>
        <w:rPr>
          <w:rFonts w:cs="Times New Roman"/>
          <w:szCs w:val="24"/>
        </w:rPr>
        <w:t>(a) T</w:t>
      </w:r>
      <w:r w:rsidR="00AD2396" w:rsidRPr="00280C64">
        <w:rPr>
          <w:rFonts w:cs="Times New Roman"/>
          <w:szCs w:val="24"/>
        </w:rPr>
        <w:t xml:space="preserve">he principle of a fair and legitimate criminal code demands certainty and an emphasis on </w:t>
      </w:r>
      <w:r>
        <w:rPr>
          <w:rFonts w:cs="Times New Roman"/>
          <w:szCs w:val="24"/>
        </w:rPr>
        <w:t>the prohibition of</w:t>
      </w:r>
      <w:r w:rsidR="00AD2396" w:rsidRPr="00280C64">
        <w:rPr>
          <w:rFonts w:cs="Times New Roman"/>
          <w:szCs w:val="24"/>
        </w:rPr>
        <w:t xml:space="preserve"> action</w:t>
      </w:r>
      <w:r>
        <w:rPr>
          <w:rFonts w:cs="Times New Roman"/>
          <w:szCs w:val="24"/>
        </w:rPr>
        <w:t xml:space="preserve"> </w:t>
      </w:r>
      <w:r w:rsidR="00DC31B4">
        <w:rPr>
          <w:rFonts w:cs="Times New Roman"/>
          <w:szCs w:val="24"/>
        </w:rPr>
        <w:t>or</w:t>
      </w:r>
      <w:r>
        <w:rPr>
          <w:rFonts w:cs="Times New Roman"/>
          <w:szCs w:val="24"/>
        </w:rPr>
        <w:t xml:space="preserve"> expression</w:t>
      </w:r>
      <w:r w:rsidR="00AD2396" w:rsidRPr="00280C64">
        <w:rPr>
          <w:rFonts w:cs="Times New Roman"/>
          <w:szCs w:val="24"/>
        </w:rPr>
        <w:t xml:space="preserve"> which is harmful to other persons</w:t>
      </w:r>
      <w:proofErr w:type="gramStart"/>
      <w:r w:rsidR="009E5736">
        <w:rPr>
          <w:rFonts w:cs="Times New Roman"/>
          <w:szCs w:val="24"/>
        </w:rPr>
        <w:t xml:space="preserve">, </w:t>
      </w:r>
      <w:r>
        <w:rPr>
          <w:rFonts w:cs="Times New Roman"/>
          <w:szCs w:val="24"/>
        </w:rPr>
        <w:t xml:space="preserve"> but</w:t>
      </w:r>
      <w:proofErr w:type="gramEnd"/>
      <w:r>
        <w:rPr>
          <w:rFonts w:cs="Times New Roman"/>
          <w:szCs w:val="24"/>
        </w:rPr>
        <w:t xml:space="preserve"> </w:t>
      </w:r>
      <w:r w:rsidR="009E5736">
        <w:rPr>
          <w:rFonts w:cs="Times New Roman"/>
          <w:szCs w:val="24"/>
        </w:rPr>
        <w:t xml:space="preserve">also </w:t>
      </w:r>
      <w:r>
        <w:rPr>
          <w:rFonts w:cs="Times New Roman"/>
          <w:szCs w:val="24"/>
        </w:rPr>
        <w:t>on the tolerance of distasteful or imprudent behaviour</w:t>
      </w:r>
      <w:r w:rsidR="00997011">
        <w:rPr>
          <w:rFonts w:cs="Times New Roman"/>
          <w:szCs w:val="24"/>
        </w:rPr>
        <w:t xml:space="preserve"> or even </w:t>
      </w:r>
      <w:r>
        <w:rPr>
          <w:rFonts w:cs="Times New Roman"/>
          <w:szCs w:val="24"/>
        </w:rPr>
        <w:t>‘extremism’</w:t>
      </w:r>
      <w:r w:rsidR="00997011">
        <w:rPr>
          <w:rFonts w:cs="Times New Roman"/>
          <w:szCs w:val="24"/>
        </w:rPr>
        <w:t xml:space="preserve">, which has not yet been proposed as the subject of a criminal offence. </w:t>
      </w:r>
      <w:r w:rsidR="00AD2396" w:rsidRPr="00280C64">
        <w:rPr>
          <w:rFonts w:cs="Times New Roman"/>
          <w:szCs w:val="24"/>
        </w:rPr>
        <w:t>Those boundaries have already been pushed by the successive creation of ‘precursor’ crimes.</w:t>
      </w:r>
      <w:r w:rsidR="00997011">
        <w:rPr>
          <w:rStyle w:val="FootnoteReference"/>
          <w:rFonts w:cs="Times New Roman"/>
          <w:szCs w:val="24"/>
        </w:rPr>
        <w:footnoteReference w:id="4"/>
      </w:r>
      <w:r w:rsidR="00AD2396" w:rsidRPr="00280C64">
        <w:rPr>
          <w:rFonts w:cs="Times New Roman"/>
          <w:szCs w:val="24"/>
        </w:rPr>
        <w:t xml:space="preserve"> Admittedly, counter terrorism is not unique in </w:t>
      </w:r>
      <w:r w:rsidR="00DC31B4">
        <w:rPr>
          <w:rFonts w:cs="Times New Roman"/>
          <w:szCs w:val="24"/>
        </w:rPr>
        <w:t>generating</w:t>
      </w:r>
      <w:r w:rsidR="00AD2396" w:rsidRPr="00280C64">
        <w:rPr>
          <w:rFonts w:cs="Times New Roman"/>
          <w:szCs w:val="24"/>
        </w:rPr>
        <w:t xml:space="preserve"> such</w:t>
      </w:r>
      <w:r w:rsidR="00997011">
        <w:rPr>
          <w:rFonts w:cs="Times New Roman"/>
          <w:szCs w:val="24"/>
        </w:rPr>
        <w:t xml:space="preserve"> precursor </w:t>
      </w:r>
      <w:r w:rsidR="00AD2396" w:rsidRPr="00280C64">
        <w:rPr>
          <w:rFonts w:cs="Times New Roman"/>
          <w:szCs w:val="24"/>
        </w:rPr>
        <w:t>crimes</w:t>
      </w:r>
      <w:r w:rsidR="00997011">
        <w:rPr>
          <w:rFonts w:cs="Times New Roman"/>
          <w:szCs w:val="24"/>
        </w:rPr>
        <w:t>,</w:t>
      </w:r>
      <w:r w:rsidR="00AD2396" w:rsidRPr="00280C64">
        <w:rPr>
          <w:rFonts w:cs="Times New Roman"/>
          <w:szCs w:val="24"/>
        </w:rPr>
        <w:t xml:space="preserve"> and they are not all of recent origin. But counter terrori</w:t>
      </w:r>
      <w:r w:rsidR="00217EEB">
        <w:rPr>
          <w:rFonts w:cs="Times New Roman"/>
          <w:szCs w:val="24"/>
        </w:rPr>
        <w:t>sm has been markedly</w:t>
      </w:r>
      <w:r w:rsidR="00AD2396" w:rsidRPr="00280C64">
        <w:rPr>
          <w:rFonts w:cs="Times New Roman"/>
          <w:szCs w:val="24"/>
        </w:rPr>
        <w:t xml:space="preserve"> inventive</w:t>
      </w:r>
      <w:r w:rsidR="00E92808" w:rsidRPr="00280C64">
        <w:rPr>
          <w:rFonts w:cs="Times New Roman"/>
          <w:szCs w:val="24"/>
        </w:rPr>
        <w:t xml:space="preserve"> in </w:t>
      </w:r>
      <w:r w:rsidR="00997011">
        <w:rPr>
          <w:rFonts w:cs="Times New Roman"/>
          <w:szCs w:val="24"/>
        </w:rPr>
        <w:t>traversing</w:t>
      </w:r>
      <w:r w:rsidR="00E92808" w:rsidRPr="00280C64">
        <w:rPr>
          <w:rFonts w:cs="Times New Roman"/>
          <w:szCs w:val="24"/>
        </w:rPr>
        <w:t xml:space="preserve"> the precursor boundaries, as exemplified by the all-purpose ‘preparation of terrorism’ offence under section 5 of the Terrorism Act 2006, which has now pushed </w:t>
      </w:r>
      <w:r w:rsidR="00217EEB">
        <w:rPr>
          <w:rFonts w:cs="Times New Roman"/>
          <w:szCs w:val="24"/>
        </w:rPr>
        <w:t xml:space="preserve">both </w:t>
      </w:r>
      <w:r w:rsidR="00E92808" w:rsidRPr="00280C64">
        <w:rPr>
          <w:rFonts w:cs="Times New Roman"/>
          <w:szCs w:val="24"/>
        </w:rPr>
        <w:t xml:space="preserve">sections 57 and 58 </w:t>
      </w:r>
      <w:r w:rsidR="00997011">
        <w:rPr>
          <w:rFonts w:cs="Times New Roman"/>
          <w:szCs w:val="24"/>
        </w:rPr>
        <w:t xml:space="preserve">of the Terrorism Act 2000 </w:t>
      </w:r>
      <w:r w:rsidR="00E92808" w:rsidRPr="00280C64">
        <w:rPr>
          <w:rFonts w:cs="Times New Roman"/>
          <w:szCs w:val="24"/>
        </w:rPr>
        <w:t xml:space="preserve">into the shade in terms of their usage. This point about </w:t>
      </w:r>
      <w:r w:rsidR="00DC31B4">
        <w:rPr>
          <w:rFonts w:cs="Times New Roman"/>
          <w:szCs w:val="24"/>
        </w:rPr>
        <w:t>principle</w:t>
      </w:r>
      <w:r w:rsidR="00E92808" w:rsidRPr="00280C64">
        <w:rPr>
          <w:rFonts w:cs="Times New Roman"/>
          <w:szCs w:val="24"/>
        </w:rPr>
        <w:t xml:space="preserve"> is underlined by the </w:t>
      </w:r>
      <w:r w:rsidR="00997011">
        <w:rPr>
          <w:rFonts w:cs="Times New Roman"/>
          <w:szCs w:val="24"/>
        </w:rPr>
        <w:t>fact</w:t>
      </w:r>
      <w:r w:rsidR="00E92808" w:rsidRPr="00280C64">
        <w:rPr>
          <w:rFonts w:cs="Times New Roman"/>
          <w:szCs w:val="24"/>
        </w:rPr>
        <w:t xml:space="preserve"> that </w:t>
      </w:r>
      <w:r w:rsidR="006908D4" w:rsidRPr="00280C64">
        <w:rPr>
          <w:rFonts w:cs="Times New Roman"/>
          <w:szCs w:val="24"/>
        </w:rPr>
        <w:t>the S</w:t>
      </w:r>
      <w:r w:rsidR="00E92808" w:rsidRPr="00280C64">
        <w:rPr>
          <w:rFonts w:cs="Times New Roman"/>
          <w:szCs w:val="24"/>
        </w:rPr>
        <w:t xml:space="preserve">entencing Council’s </w:t>
      </w:r>
      <w:r w:rsidR="00E92808" w:rsidRPr="00280C64">
        <w:rPr>
          <w:rFonts w:cs="Times New Roman"/>
          <w:i/>
          <w:szCs w:val="24"/>
        </w:rPr>
        <w:t xml:space="preserve">Draft Guidelines </w:t>
      </w:r>
      <w:r w:rsidR="006908D4" w:rsidRPr="00280C64">
        <w:rPr>
          <w:rFonts w:cs="Times New Roman"/>
          <w:i/>
          <w:szCs w:val="24"/>
        </w:rPr>
        <w:t>on Terrorism Offences</w:t>
      </w:r>
      <w:r w:rsidR="006908D4" w:rsidRPr="00280C64">
        <w:rPr>
          <w:rFonts w:cs="Times New Roman"/>
          <w:szCs w:val="24"/>
        </w:rPr>
        <w:t xml:space="preserve"> </w:t>
      </w:r>
      <w:r w:rsidR="00E92808" w:rsidRPr="00280C64">
        <w:rPr>
          <w:rFonts w:cs="Times New Roman"/>
          <w:szCs w:val="24"/>
        </w:rPr>
        <w:t xml:space="preserve">actually described section 57 as </w:t>
      </w:r>
      <w:r w:rsidR="00997011">
        <w:rPr>
          <w:rFonts w:cs="Times New Roman"/>
          <w:szCs w:val="24"/>
        </w:rPr>
        <w:t xml:space="preserve">a </w:t>
      </w:r>
      <w:r w:rsidR="00E92808" w:rsidRPr="00280C64">
        <w:rPr>
          <w:rFonts w:cs="Times New Roman"/>
          <w:szCs w:val="24"/>
        </w:rPr>
        <w:t>low volume</w:t>
      </w:r>
      <w:r w:rsidR="00997011">
        <w:rPr>
          <w:rFonts w:cs="Times New Roman"/>
          <w:szCs w:val="24"/>
        </w:rPr>
        <w:t xml:space="preserve"> offence</w:t>
      </w:r>
      <w:r w:rsidR="00E92808" w:rsidRPr="00280C64">
        <w:rPr>
          <w:rFonts w:cs="Times New Roman"/>
          <w:szCs w:val="24"/>
        </w:rPr>
        <w:t>.</w:t>
      </w:r>
      <w:r w:rsidR="00E92808" w:rsidRPr="00AB2BF4">
        <w:rPr>
          <w:rStyle w:val="FootnoteReference"/>
          <w:rFonts w:cs="Times New Roman"/>
          <w:szCs w:val="24"/>
        </w:rPr>
        <w:footnoteReference w:id="5"/>
      </w:r>
      <w:r w:rsidR="00E92808" w:rsidRPr="00280C64">
        <w:rPr>
          <w:rFonts w:cs="Times New Roman"/>
          <w:szCs w:val="24"/>
        </w:rPr>
        <w:t xml:space="preserve"> </w:t>
      </w:r>
      <w:r w:rsidR="00997011">
        <w:rPr>
          <w:rFonts w:cs="Times New Roman"/>
          <w:szCs w:val="24"/>
        </w:rPr>
        <w:t>T</w:t>
      </w:r>
      <w:r w:rsidR="00E92808" w:rsidRPr="00280C64">
        <w:rPr>
          <w:rFonts w:cs="Times New Roman"/>
          <w:szCs w:val="24"/>
        </w:rPr>
        <w:t xml:space="preserve">hat statement </w:t>
      </w:r>
      <w:r w:rsidR="00997011">
        <w:rPr>
          <w:rFonts w:cs="Times New Roman"/>
          <w:szCs w:val="24"/>
        </w:rPr>
        <w:t>should be noted in the light of the fact that</w:t>
      </w:r>
      <w:r w:rsidR="00E92808" w:rsidRPr="00280C64">
        <w:rPr>
          <w:rFonts w:cs="Times New Roman"/>
          <w:szCs w:val="24"/>
        </w:rPr>
        <w:t xml:space="preserve"> the use of section 57 had been prolific until around 2008 (</w:t>
      </w:r>
      <w:r w:rsidR="00997011">
        <w:rPr>
          <w:rFonts w:cs="Times New Roman"/>
          <w:szCs w:val="24"/>
        </w:rPr>
        <w:t>in other words,</w:t>
      </w:r>
      <w:r w:rsidR="00E92808" w:rsidRPr="00280C64">
        <w:rPr>
          <w:rFonts w:cs="Times New Roman"/>
          <w:szCs w:val="24"/>
        </w:rPr>
        <w:t xml:space="preserve"> pre-section 5). </w:t>
      </w:r>
      <w:r w:rsidR="009E5736">
        <w:rPr>
          <w:rFonts w:cs="Times New Roman"/>
          <w:szCs w:val="24"/>
        </w:rPr>
        <w:t>P</w:t>
      </w:r>
      <w:r w:rsidR="00DC31B4">
        <w:rPr>
          <w:rFonts w:cs="Times New Roman"/>
          <w:szCs w:val="24"/>
        </w:rPr>
        <w:t>erhaps</w:t>
      </w:r>
      <w:r w:rsidR="00E92808" w:rsidRPr="00280C64">
        <w:rPr>
          <w:rFonts w:cs="Times New Roman"/>
          <w:szCs w:val="24"/>
        </w:rPr>
        <w:t xml:space="preserve"> legislators and l</w:t>
      </w:r>
      <w:r w:rsidR="00217EEB">
        <w:rPr>
          <w:rFonts w:cs="Times New Roman"/>
          <w:szCs w:val="24"/>
        </w:rPr>
        <w:t>awyers too easily forget that</w:t>
      </w:r>
      <w:r w:rsidR="00E92808" w:rsidRPr="00280C64">
        <w:rPr>
          <w:rFonts w:cs="Times New Roman"/>
          <w:szCs w:val="24"/>
        </w:rPr>
        <w:t xml:space="preserve"> these offences are extraordinary. </w:t>
      </w:r>
      <w:r w:rsidR="00997011">
        <w:rPr>
          <w:rFonts w:cs="Times New Roman"/>
          <w:szCs w:val="24"/>
        </w:rPr>
        <w:t>As things stand</w:t>
      </w:r>
      <w:r w:rsidR="006908D4" w:rsidRPr="00280C64">
        <w:rPr>
          <w:rFonts w:cs="Times New Roman"/>
          <w:szCs w:val="24"/>
        </w:rPr>
        <w:t>, t</w:t>
      </w:r>
      <w:r w:rsidR="00E92808" w:rsidRPr="00280C64">
        <w:rPr>
          <w:rFonts w:cs="Times New Roman"/>
          <w:szCs w:val="24"/>
        </w:rPr>
        <w:t xml:space="preserve">he UK legislation goes further than most other jurisdictions in </w:t>
      </w:r>
      <w:r w:rsidR="00997011">
        <w:rPr>
          <w:rFonts w:cs="Times New Roman"/>
          <w:szCs w:val="24"/>
        </w:rPr>
        <w:t>enacting</w:t>
      </w:r>
      <w:r w:rsidR="00E92808" w:rsidRPr="00280C64">
        <w:rPr>
          <w:rFonts w:cs="Times New Roman"/>
          <w:szCs w:val="24"/>
        </w:rPr>
        <w:t xml:space="preserve"> these </w:t>
      </w:r>
      <w:r w:rsidR="00997011">
        <w:rPr>
          <w:rFonts w:cs="Times New Roman"/>
          <w:szCs w:val="24"/>
        </w:rPr>
        <w:t xml:space="preserve">precursor </w:t>
      </w:r>
      <w:r w:rsidR="00E92808" w:rsidRPr="00280C64">
        <w:rPr>
          <w:rFonts w:cs="Times New Roman"/>
          <w:szCs w:val="24"/>
        </w:rPr>
        <w:t>offences, including the US material support offence and most Continental European jurisdictions (</w:t>
      </w:r>
      <w:r w:rsidR="00997011">
        <w:rPr>
          <w:rFonts w:cs="Times New Roman"/>
          <w:szCs w:val="24"/>
        </w:rPr>
        <w:t xml:space="preserve">with the exception, </w:t>
      </w:r>
      <w:r w:rsidR="00E92808" w:rsidRPr="00280C64">
        <w:rPr>
          <w:rFonts w:cs="Times New Roman"/>
          <w:szCs w:val="24"/>
        </w:rPr>
        <w:t>perhaps</w:t>
      </w:r>
      <w:r w:rsidR="00997011">
        <w:rPr>
          <w:rFonts w:cs="Times New Roman"/>
          <w:szCs w:val="24"/>
        </w:rPr>
        <w:t>,</w:t>
      </w:r>
      <w:r w:rsidR="00E92808" w:rsidRPr="00280C64">
        <w:rPr>
          <w:rFonts w:cs="Times New Roman"/>
          <w:szCs w:val="24"/>
        </w:rPr>
        <w:t xml:space="preserve"> </w:t>
      </w:r>
      <w:r w:rsidR="00997011">
        <w:rPr>
          <w:rFonts w:cs="Times New Roman"/>
          <w:szCs w:val="24"/>
        </w:rPr>
        <w:t>of</w:t>
      </w:r>
      <w:r w:rsidR="00E92808" w:rsidRPr="00280C64">
        <w:rPr>
          <w:rFonts w:cs="Times New Roman"/>
          <w:szCs w:val="24"/>
        </w:rPr>
        <w:t xml:space="preserve"> France). </w:t>
      </w:r>
      <w:r w:rsidR="006908D4" w:rsidRPr="00280C64">
        <w:rPr>
          <w:rFonts w:cs="Times New Roman"/>
          <w:szCs w:val="24"/>
        </w:rPr>
        <w:t>F</w:t>
      </w:r>
      <w:r w:rsidR="00997011">
        <w:rPr>
          <w:rFonts w:cs="Times New Roman"/>
          <w:szCs w:val="24"/>
        </w:rPr>
        <w:t>urthermore</w:t>
      </w:r>
      <w:r w:rsidR="006908D4" w:rsidRPr="00280C64">
        <w:rPr>
          <w:rFonts w:cs="Times New Roman"/>
          <w:szCs w:val="24"/>
        </w:rPr>
        <w:t xml:space="preserve">, neither section 58 nor clause 3 </w:t>
      </w:r>
      <w:r w:rsidR="00E92808" w:rsidRPr="00280C64">
        <w:rPr>
          <w:rFonts w:cs="Times New Roman"/>
          <w:szCs w:val="24"/>
        </w:rPr>
        <w:t>can be justified by reference to any requirement under international law, such as the Council of Europe Convention on the Prevention of Terrorism 2005 or the Additional Protocol of 2014.</w:t>
      </w:r>
      <w:r w:rsidR="00E92808" w:rsidRPr="00AB2BF4">
        <w:rPr>
          <w:rStyle w:val="FootnoteReference"/>
          <w:rFonts w:cs="Times New Roman"/>
          <w:szCs w:val="24"/>
        </w:rPr>
        <w:footnoteReference w:id="6"/>
      </w:r>
      <w:r w:rsidR="00E92808" w:rsidRPr="00280C64">
        <w:rPr>
          <w:rFonts w:cs="Times New Roman"/>
          <w:szCs w:val="24"/>
        </w:rPr>
        <w:t xml:space="preserve"> </w:t>
      </w:r>
      <w:r w:rsidR="006908D4" w:rsidRPr="00280C64">
        <w:rPr>
          <w:rFonts w:cs="Times New Roman"/>
          <w:szCs w:val="24"/>
        </w:rPr>
        <w:lastRenderedPageBreak/>
        <w:t xml:space="preserve">In conclusion, a </w:t>
      </w:r>
      <w:r w:rsidR="00997011">
        <w:rPr>
          <w:rFonts w:cs="Times New Roman"/>
          <w:szCs w:val="24"/>
        </w:rPr>
        <w:t xml:space="preserve">principled </w:t>
      </w:r>
      <w:r w:rsidR="00DC31B4">
        <w:rPr>
          <w:rFonts w:cs="Times New Roman"/>
          <w:szCs w:val="24"/>
        </w:rPr>
        <w:t xml:space="preserve">boundary </w:t>
      </w:r>
      <w:r w:rsidR="00997011">
        <w:rPr>
          <w:rFonts w:cs="Times New Roman"/>
          <w:szCs w:val="24"/>
        </w:rPr>
        <w:t xml:space="preserve">line as to the legitimate usage of criminal law </w:t>
      </w:r>
      <w:r w:rsidR="006908D4" w:rsidRPr="00280C64">
        <w:rPr>
          <w:rFonts w:cs="Times New Roman"/>
          <w:szCs w:val="24"/>
        </w:rPr>
        <w:t>is being crossed</w:t>
      </w:r>
      <w:r w:rsidR="00997011">
        <w:rPr>
          <w:rFonts w:cs="Times New Roman"/>
          <w:szCs w:val="24"/>
        </w:rPr>
        <w:t>. As stated by</w:t>
      </w:r>
      <w:r w:rsidR="009E5736">
        <w:rPr>
          <w:rFonts w:cs="Times New Roman"/>
          <w:szCs w:val="24"/>
        </w:rPr>
        <w:t xml:space="preserve"> the Independent Reviewer in his evidence</w:t>
      </w:r>
      <w:r w:rsidR="00997011">
        <w:rPr>
          <w:rFonts w:cs="Times New Roman"/>
          <w:szCs w:val="24"/>
        </w:rPr>
        <w:t>,</w:t>
      </w:r>
      <w:r w:rsidR="006908D4" w:rsidRPr="00280C64">
        <w:rPr>
          <w:rFonts w:cs="Times New Roman"/>
          <w:szCs w:val="24"/>
        </w:rPr>
        <w:t xml:space="preserve"> </w:t>
      </w:r>
      <w:r w:rsidR="00997011">
        <w:rPr>
          <w:rFonts w:cs="Times New Roman"/>
          <w:szCs w:val="24"/>
        </w:rPr>
        <w:t>clause 3 wrong</w:t>
      </w:r>
      <w:r w:rsidR="00DC31B4">
        <w:rPr>
          <w:rFonts w:cs="Times New Roman"/>
          <w:szCs w:val="24"/>
        </w:rPr>
        <w:t>ly</w:t>
      </w:r>
      <w:r w:rsidR="00997011">
        <w:rPr>
          <w:rFonts w:cs="Times New Roman"/>
          <w:szCs w:val="24"/>
        </w:rPr>
        <w:t xml:space="preserve"> assumes </w:t>
      </w:r>
      <w:r w:rsidR="006908D4" w:rsidRPr="00280C64">
        <w:rPr>
          <w:rFonts w:cs="Times New Roman"/>
          <w:szCs w:val="24"/>
        </w:rPr>
        <w:t>that ‘</w:t>
      </w:r>
      <w:r w:rsidR="006908D4" w:rsidRPr="00280C64">
        <w:rPr>
          <w:rFonts w:cs="Times New Roman"/>
          <w:szCs w:val="24"/>
          <w:lang w:bidi="ar-SA"/>
        </w:rPr>
        <w:t>a predisposition to extreme thinking—has crossed the line into terrorist offending, which is violent extremism’.</w:t>
      </w:r>
      <w:r w:rsidR="006908D4" w:rsidRPr="00AB2BF4">
        <w:rPr>
          <w:rStyle w:val="FootnoteReference"/>
          <w:rFonts w:cs="Times New Roman"/>
          <w:szCs w:val="24"/>
          <w:lang w:bidi="ar-SA"/>
        </w:rPr>
        <w:footnoteReference w:id="7"/>
      </w:r>
      <w:r w:rsidR="006908D4" w:rsidRPr="00280C64">
        <w:rPr>
          <w:rFonts w:cs="Times New Roman"/>
          <w:szCs w:val="24"/>
          <w:lang w:bidi="ar-SA"/>
        </w:rPr>
        <w:t xml:space="preserve"> </w:t>
      </w:r>
      <w:r w:rsidR="00997011" w:rsidRPr="002373FD">
        <w:t xml:space="preserve">To justify clause 3, one must make the assumption that the activity is inherently risky and points towards </w:t>
      </w:r>
      <w:r w:rsidR="00997011">
        <w:t>an inevitable outcome</w:t>
      </w:r>
      <w:r w:rsidR="00997011" w:rsidRPr="002373FD">
        <w:t>. Thus, the inherent claim is that viewers will either be seduced or have their will overwhelmed by the inevitable power and persuasion of the terrorist messages. Yet, other outturns are statistically more likely</w:t>
      </w:r>
      <w:r w:rsidR="00BA43AC">
        <w:t xml:space="preserve"> by far</w:t>
      </w:r>
      <w:r w:rsidR="00997011" w:rsidRPr="002373FD">
        <w:t>. The government</w:t>
      </w:r>
      <w:r w:rsidR="00997011" w:rsidRPr="002373FD">
        <w:rPr>
          <w:rStyle w:val="FootnoteReference"/>
        </w:rPr>
        <w:footnoteReference w:id="8"/>
      </w:r>
      <w:r w:rsidR="00997011" w:rsidRPr="002373FD">
        <w:t xml:space="preserve"> and researchers</w:t>
      </w:r>
      <w:r w:rsidR="00997011" w:rsidRPr="002373FD">
        <w:rPr>
          <w:rStyle w:val="FootnoteReference"/>
        </w:rPr>
        <w:footnoteReference w:id="9"/>
      </w:r>
      <w:r w:rsidR="00997011" w:rsidRPr="002373FD">
        <w:t xml:space="preserve"> have repeatedly asserted that there is no clear production line from viewing extremism or even being ‘radicalised’ into becoming an active terrorist. In summary, the new mode of </w:t>
      </w:r>
      <w:r w:rsidR="00D45BDB">
        <w:t>offending is based on the</w:t>
      </w:r>
      <w:r w:rsidR="00997011" w:rsidRPr="002373FD">
        <w:t xml:space="preserve"> premise of the ‘one-way’ or ‘conveyor belt’ radicalisation-to-terrorism thesis which the government is normally at pains to reject.</w:t>
      </w:r>
      <w:r w:rsidR="00997011" w:rsidRPr="002373FD">
        <w:rPr>
          <w:rStyle w:val="FootnoteReference"/>
        </w:rPr>
        <w:footnoteReference w:id="10"/>
      </w:r>
      <w:r w:rsidR="00997011" w:rsidRPr="002373FD">
        <w:t xml:space="preserve"> </w:t>
      </w:r>
    </w:p>
    <w:p w:rsidR="00280C64" w:rsidRDefault="00280C64" w:rsidP="00EF791A">
      <w:pPr>
        <w:jc w:val="both"/>
        <w:rPr>
          <w:rFonts w:cs="Times New Roman"/>
          <w:szCs w:val="24"/>
        </w:rPr>
      </w:pPr>
    </w:p>
    <w:p w:rsidR="00E92808" w:rsidRPr="00280C64" w:rsidRDefault="00BA43AC" w:rsidP="00EF791A">
      <w:pPr>
        <w:jc w:val="both"/>
        <w:rPr>
          <w:rFonts w:cs="Times New Roman"/>
          <w:szCs w:val="24"/>
          <w:lang/>
        </w:rPr>
      </w:pPr>
      <w:r>
        <w:rPr>
          <w:rFonts w:cs="Times New Roman"/>
          <w:szCs w:val="24"/>
        </w:rPr>
        <w:t>(b) T</w:t>
      </w:r>
      <w:r w:rsidR="00BA33D3" w:rsidRPr="00280C64">
        <w:rPr>
          <w:rFonts w:cs="Times New Roman"/>
          <w:szCs w:val="24"/>
        </w:rPr>
        <w:t>he process of</w:t>
      </w:r>
      <w:r w:rsidR="00D45BDB">
        <w:rPr>
          <w:rFonts w:cs="Times New Roman"/>
          <w:szCs w:val="24"/>
        </w:rPr>
        <w:t xml:space="preserve"> criminalising</w:t>
      </w:r>
      <w:r w:rsidR="00BA33D3" w:rsidRPr="00280C64">
        <w:rPr>
          <w:rFonts w:cs="Times New Roman"/>
          <w:szCs w:val="24"/>
        </w:rPr>
        <w:t xml:space="preserve"> the collection of information inevitably impinges on </w:t>
      </w:r>
      <w:r w:rsidR="00AD2396" w:rsidRPr="00280C64">
        <w:rPr>
          <w:rFonts w:cs="Times New Roman"/>
          <w:szCs w:val="24"/>
        </w:rPr>
        <w:t xml:space="preserve">human rights in the shape of </w:t>
      </w:r>
      <w:r w:rsidR="00BA33D3" w:rsidRPr="00280C64">
        <w:rPr>
          <w:rFonts w:cs="Times New Roman"/>
          <w:szCs w:val="24"/>
        </w:rPr>
        <w:t>freedom</w:t>
      </w:r>
      <w:r w:rsidR="00546A84">
        <w:rPr>
          <w:rFonts w:cs="Times New Roman"/>
          <w:szCs w:val="24"/>
        </w:rPr>
        <w:t>s</w:t>
      </w:r>
      <w:r w:rsidR="00BA33D3" w:rsidRPr="00280C64">
        <w:rPr>
          <w:rFonts w:cs="Times New Roman"/>
          <w:szCs w:val="24"/>
        </w:rPr>
        <w:t xml:space="preserve"> of thought and expression. </w:t>
      </w:r>
      <w:r w:rsidR="00D45BDB">
        <w:rPr>
          <w:rFonts w:cs="Times New Roman"/>
          <w:szCs w:val="24"/>
        </w:rPr>
        <w:t>T</w:t>
      </w:r>
      <w:r w:rsidR="00AD2396" w:rsidRPr="00280C64">
        <w:rPr>
          <w:rFonts w:cs="Times New Roman"/>
          <w:szCs w:val="24"/>
          <w:lang/>
        </w:rPr>
        <w:t>he European Court of Human Rights</w:t>
      </w:r>
      <w:r w:rsidR="00546A84">
        <w:rPr>
          <w:rFonts w:cs="Times New Roman"/>
          <w:szCs w:val="24"/>
          <w:lang/>
        </w:rPr>
        <w:t xml:space="preserve"> has increasingly underlined that</w:t>
      </w:r>
      <w:r w:rsidR="00AD2396" w:rsidRPr="00280C64">
        <w:rPr>
          <w:rFonts w:cs="Times New Roman"/>
          <w:szCs w:val="24"/>
          <w:lang/>
        </w:rPr>
        <w:t xml:space="preserve"> access to </w:t>
      </w:r>
      <w:r w:rsidR="00D45BDB">
        <w:rPr>
          <w:rFonts w:cs="Times New Roman"/>
          <w:szCs w:val="24"/>
          <w:lang/>
        </w:rPr>
        <w:t xml:space="preserve">the </w:t>
      </w:r>
      <w:r w:rsidR="00AD2396" w:rsidRPr="00280C64">
        <w:rPr>
          <w:rFonts w:cs="Times New Roman"/>
          <w:szCs w:val="24"/>
          <w:lang/>
        </w:rPr>
        <w:t xml:space="preserve">Internet </w:t>
      </w:r>
      <w:r w:rsidR="00546A84">
        <w:rPr>
          <w:rFonts w:cs="Times New Roman"/>
          <w:szCs w:val="24"/>
          <w:lang/>
        </w:rPr>
        <w:t>is</w:t>
      </w:r>
      <w:r w:rsidR="00AD2396" w:rsidRPr="00280C64">
        <w:rPr>
          <w:rFonts w:cs="Times New Roman"/>
          <w:szCs w:val="24"/>
          <w:lang/>
        </w:rPr>
        <w:t xml:space="preserve"> an</w:t>
      </w:r>
      <w:r w:rsidR="00DC31B4">
        <w:rPr>
          <w:rFonts w:cs="Times New Roman"/>
          <w:szCs w:val="24"/>
          <w:lang/>
        </w:rPr>
        <w:t xml:space="preserve"> important</w:t>
      </w:r>
      <w:r w:rsidR="00AD2396" w:rsidRPr="00280C64">
        <w:rPr>
          <w:rFonts w:cs="Times New Roman"/>
          <w:szCs w:val="24"/>
          <w:lang/>
        </w:rPr>
        <w:t xml:space="preserve"> aspect of the freedom to receive and impart information and ideas.</w:t>
      </w:r>
      <w:r w:rsidR="00AD2396" w:rsidRPr="00AB2BF4">
        <w:rPr>
          <w:rStyle w:val="FootnoteReference"/>
          <w:rFonts w:cs="Times New Roman"/>
          <w:szCs w:val="24"/>
          <w:lang/>
        </w:rPr>
        <w:footnoteReference w:id="11"/>
      </w:r>
      <w:r w:rsidR="00AD2396" w:rsidRPr="00280C64">
        <w:rPr>
          <w:rFonts w:cs="Times New Roman"/>
          <w:szCs w:val="24"/>
          <w:lang/>
        </w:rPr>
        <w:t xml:space="preserve"> </w:t>
      </w:r>
      <w:r w:rsidR="00546A84">
        <w:rPr>
          <w:rFonts w:cs="Times New Roman"/>
          <w:szCs w:val="24"/>
          <w:lang/>
        </w:rPr>
        <w:t>To date</w:t>
      </w:r>
      <w:r w:rsidR="00DC31B4">
        <w:rPr>
          <w:rFonts w:cs="Times New Roman"/>
          <w:szCs w:val="24"/>
          <w:lang/>
        </w:rPr>
        <w:t>,</w:t>
      </w:r>
      <w:r w:rsidR="00AD2396" w:rsidRPr="00280C64">
        <w:rPr>
          <w:rFonts w:cs="Times New Roman"/>
          <w:szCs w:val="24"/>
          <w:lang/>
        </w:rPr>
        <w:t xml:space="preserve"> the section 58 offence has been upheld as ECHR</w:t>
      </w:r>
      <w:r w:rsidR="00DC31B4">
        <w:rPr>
          <w:rFonts w:cs="Times New Roman"/>
          <w:szCs w:val="24"/>
          <w:lang/>
        </w:rPr>
        <w:t>-</w:t>
      </w:r>
      <w:r w:rsidR="00AD2396" w:rsidRPr="00280C64">
        <w:rPr>
          <w:rFonts w:cs="Times New Roman"/>
          <w:szCs w:val="24"/>
          <w:lang/>
        </w:rPr>
        <w:t>compliant by domestic courts and even the ECtHR.</w:t>
      </w:r>
      <w:r w:rsidR="00AD2396" w:rsidRPr="00AB2BF4">
        <w:rPr>
          <w:rStyle w:val="FootnoteReference"/>
          <w:rFonts w:cs="Times New Roman"/>
          <w:szCs w:val="24"/>
          <w:lang/>
        </w:rPr>
        <w:footnoteReference w:id="12"/>
      </w:r>
      <w:r w:rsidR="00AD2396" w:rsidRPr="00280C64">
        <w:rPr>
          <w:rFonts w:cs="Times New Roman"/>
          <w:szCs w:val="24"/>
          <w:lang/>
        </w:rPr>
        <w:t xml:space="preserve"> However, as the boundaries of the criminal law are expanded, so are the impingements on thought and expression and so are the arguments about legal (un)certainty</w:t>
      </w:r>
      <w:r w:rsidR="00BA0859" w:rsidRPr="00280C64">
        <w:rPr>
          <w:rFonts w:cs="Times New Roman"/>
          <w:szCs w:val="24"/>
          <w:lang/>
        </w:rPr>
        <w:t xml:space="preserve">. The French litigation </w:t>
      </w:r>
      <w:r w:rsidR="00D45BDB">
        <w:rPr>
          <w:rFonts w:cs="Times New Roman"/>
          <w:szCs w:val="24"/>
          <w:lang/>
        </w:rPr>
        <w:t>which is described in Professor Walker’s</w:t>
      </w:r>
      <w:r w:rsidR="00DC31B4">
        <w:rPr>
          <w:rFonts w:cs="Times New Roman"/>
          <w:szCs w:val="24"/>
          <w:lang/>
        </w:rPr>
        <w:t xml:space="preserve"> submission </w:t>
      </w:r>
      <w:r w:rsidR="00D45BDB">
        <w:rPr>
          <w:rFonts w:cs="Times New Roman"/>
          <w:szCs w:val="24"/>
          <w:lang/>
        </w:rPr>
        <w:t xml:space="preserve">to the JCHR </w:t>
      </w:r>
      <w:r w:rsidR="00546A84">
        <w:rPr>
          <w:rFonts w:cs="Times New Roman"/>
          <w:szCs w:val="24"/>
          <w:lang/>
        </w:rPr>
        <w:t>equally</w:t>
      </w:r>
      <w:r w:rsidR="00BA0859" w:rsidRPr="00280C64">
        <w:rPr>
          <w:rFonts w:cs="Times New Roman"/>
          <w:szCs w:val="24"/>
          <w:lang/>
        </w:rPr>
        <w:t xml:space="preserve"> raises objections on these </w:t>
      </w:r>
      <w:r w:rsidR="00DC31B4">
        <w:rPr>
          <w:rFonts w:cs="Times New Roman"/>
          <w:szCs w:val="24"/>
          <w:lang/>
        </w:rPr>
        <w:t xml:space="preserve">human rights </w:t>
      </w:r>
      <w:r w:rsidR="00BA0859" w:rsidRPr="00280C64">
        <w:rPr>
          <w:rFonts w:cs="Times New Roman"/>
          <w:szCs w:val="24"/>
          <w:lang/>
        </w:rPr>
        <w:t>grounds</w:t>
      </w:r>
      <w:r w:rsidR="00DC31B4">
        <w:rPr>
          <w:rFonts w:cs="Times New Roman"/>
          <w:szCs w:val="24"/>
          <w:lang/>
        </w:rPr>
        <w:t>. Though the</w:t>
      </w:r>
      <w:r w:rsidR="00546A84">
        <w:rPr>
          <w:rFonts w:cs="Times New Roman"/>
          <w:szCs w:val="24"/>
          <w:lang/>
        </w:rPr>
        <w:t xml:space="preserve"> decisions </w:t>
      </w:r>
      <w:r w:rsidR="00DC31B4">
        <w:rPr>
          <w:rFonts w:cs="Times New Roman"/>
          <w:szCs w:val="24"/>
          <w:lang/>
        </w:rPr>
        <w:t>lack depth in the</w:t>
      </w:r>
      <w:r w:rsidR="00546A84">
        <w:rPr>
          <w:rFonts w:cs="Times New Roman"/>
          <w:szCs w:val="24"/>
          <w:lang/>
        </w:rPr>
        <w:t>ir</w:t>
      </w:r>
      <w:r w:rsidR="00DC31B4">
        <w:rPr>
          <w:rFonts w:cs="Times New Roman"/>
          <w:szCs w:val="24"/>
          <w:lang/>
        </w:rPr>
        <w:t xml:space="preserve"> argumentation, the principle is clear that the further </w:t>
      </w:r>
      <w:r w:rsidR="00546A84">
        <w:rPr>
          <w:rFonts w:cs="Times New Roman"/>
          <w:szCs w:val="24"/>
          <w:lang/>
        </w:rPr>
        <w:t xml:space="preserve">away </w:t>
      </w:r>
      <w:r w:rsidR="00DC31B4">
        <w:rPr>
          <w:rFonts w:cs="Times New Roman"/>
          <w:szCs w:val="24"/>
          <w:lang/>
        </w:rPr>
        <w:t xml:space="preserve">the point of criminal law intervention becomes from </w:t>
      </w:r>
      <w:r w:rsidR="00DC31B4">
        <w:t>any demonstrable</w:t>
      </w:r>
      <w:r w:rsidR="00DC31B4" w:rsidRPr="002373FD">
        <w:t xml:space="preserve"> </w:t>
      </w:r>
      <w:r w:rsidR="00DC31B4" w:rsidRPr="002373FD">
        <w:rPr>
          <w:lang/>
        </w:rPr>
        <w:t xml:space="preserve">desire </w:t>
      </w:r>
      <w:r w:rsidR="00546A84">
        <w:rPr>
          <w:lang/>
        </w:rPr>
        <w:t xml:space="preserve">or move </w:t>
      </w:r>
      <w:r w:rsidR="00DC31B4" w:rsidRPr="002373FD">
        <w:rPr>
          <w:lang/>
        </w:rPr>
        <w:t>to commit terrorist acts</w:t>
      </w:r>
      <w:r w:rsidR="00DC31B4">
        <w:rPr>
          <w:rFonts w:cs="Times New Roman"/>
          <w:szCs w:val="24"/>
          <w:lang/>
        </w:rPr>
        <w:t>, the more likely it is to be condemned as disproportionate.</w:t>
      </w:r>
    </w:p>
    <w:p w:rsidR="00280C64" w:rsidRDefault="00280C64" w:rsidP="00EF791A">
      <w:pPr>
        <w:jc w:val="both"/>
        <w:rPr>
          <w:rFonts w:cs="Times New Roman"/>
          <w:szCs w:val="24"/>
          <w:lang/>
        </w:rPr>
      </w:pPr>
    </w:p>
    <w:p w:rsidR="00A21F63" w:rsidRPr="00280C64" w:rsidRDefault="00383830" w:rsidP="00EF791A">
      <w:pPr>
        <w:jc w:val="both"/>
        <w:rPr>
          <w:rFonts w:cs="Times New Roman"/>
          <w:szCs w:val="24"/>
          <w:lang/>
        </w:rPr>
      </w:pPr>
      <w:r>
        <w:rPr>
          <w:rFonts w:cs="Times New Roman"/>
          <w:szCs w:val="24"/>
          <w:lang/>
        </w:rPr>
        <w:t xml:space="preserve">(c) The counter-argument that any chilling effect or disproportionality can be solved by reference to the </w:t>
      </w:r>
      <w:proofErr w:type="spellStart"/>
      <w:r>
        <w:rPr>
          <w:rFonts w:cs="Times New Roman"/>
          <w:szCs w:val="24"/>
          <w:lang/>
        </w:rPr>
        <w:t>defence</w:t>
      </w:r>
      <w:proofErr w:type="spellEnd"/>
      <w:r>
        <w:rPr>
          <w:rFonts w:cs="Times New Roman"/>
          <w:szCs w:val="24"/>
          <w:lang/>
        </w:rPr>
        <w:t xml:space="preserve"> of reasonable excuse under section 58(3) triggers a further objection in principle. This </w:t>
      </w:r>
      <w:r w:rsidR="00A178D7">
        <w:rPr>
          <w:rFonts w:cs="Times New Roman"/>
          <w:szCs w:val="24"/>
          <w:lang/>
        </w:rPr>
        <w:t xml:space="preserve">justification runs afoul of </w:t>
      </w:r>
      <w:r w:rsidR="00546A84">
        <w:rPr>
          <w:rFonts w:cs="Times New Roman"/>
          <w:szCs w:val="24"/>
          <w:lang/>
        </w:rPr>
        <w:t>the</w:t>
      </w:r>
      <w:r w:rsidR="00A178D7">
        <w:rPr>
          <w:rFonts w:cs="Times New Roman"/>
          <w:szCs w:val="24"/>
          <w:lang/>
        </w:rPr>
        <w:t xml:space="preserve"> fundamental principle that the main</w:t>
      </w:r>
      <w:r w:rsidR="00A21F63" w:rsidRPr="00280C64">
        <w:rPr>
          <w:rFonts w:cs="Times New Roman"/>
          <w:szCs w:val="24"/>
          <w:lang/>
        </w:rPr>
        <w:t xml:space="preserve"> burden of proof </w:t>
      </w:r>
      <w:r w:rsidR="00A178D7">
        <w:rPr>
          <w:rFonts w:cs="Times New Roman"/>
          <w:szCs w:val="24"/>
          <w:lang/>
        </w:rPr>
        <w:t>should reside with the prosecution</w:t>
      </w:r>
      <w:r w:rsidR="00A21F63" w:rsidRPr="00280C64">
        <w:rPr>
          <w:rFonts w:cs="Times New Roman"/>
          <w:szCs w:val="24"/>
          <w:lang/>
        </w:rPr>
        <w:t xml:space="preserve">. The bulk of the work must be done by the prosecution rather than </w:t>
      </w:r>
      <w:r w:rsidR="00A178D7">
        <w:rPr>
          <w:rFonts w:cs="Times New Roman"/>
          <w:szCs w:val="24"/>
          <w:lang/>
        </w:rPr>
        <w:t>inevitably</w:t>
      </w:r>
      <w:r w:rsidR="00A21F63" w:rsidRPr="00280C64">
        <w:rPr>
          <w:rFonts w:cs="Times New Roman"/>
          <w:szCs w:val="24"/>
          <w:lang/>
        </w:rPr>
        <w:t xml:space="preserve"> requiring the defendant to explain some kind of reasonable excuse</w:t>
      </w:r>
      <w:r w:rsidR="00A178D7">
        <w:rPr>
          <w:rFonts w:cs="Times New Roman"/>
          <w:szCs w:val="24"/>
          <w:lang/>
        </w:rPr>
        <w:t xml:space="preserve"> based on rights of free thought or expression</w:t>
      </w:r>
      <w:r w:rsidR="00A21F63" w:rsidRPr="00280C64">
        <w:rPr>
          <w:rFonts w:cs="Times New Roman"/>
          <w:szCs w:val="24"/>
          <w:lang/>
        </w:rPr>
        <w:t xml:space="preserve">. </w:t>
      </w:r>
      <w:r w:rsidR="00A178D7">
        <w:rPr>
          <w:rFonts w:cs="Times New Roman"/>
          <w:szCs w:val="24"/>
          <w:lang/>
        </w:rPr>
        <w:t>Thus, a</w:t>
      </w:r>
      <w:r w:rsidR="00A21F63" w:rsidRPr="00280C64">
        <w:rPr>
          <w:rFonts w:cs="Times New Roman"/>
          <w:szCs w:val="24"/>
          <w:lang/>
        </w:rPr>
        <w:t xml:space="preserve"> </w:t>
      </w:r>
      <w:r w:rsidR="00A21F63" w:rsidRPr="00280C64">
        <w:rPr>
          <w:rFonts w:cs="Times New Roman"/>
          <w:szCs w:val="24"/>
        </w:rPr>
        <w:t xml:space="preserve">pattern of behaviour of viewing </w:t>
      </w:r>
      <w:r w:rsidR="00A178D7">
        <w:rPr>
          <w:rFonts w:cs="Times New Roman"/>
          <w:szCs w:val="24"/>
        </w:rPr>
        <w:t>should</w:t>
      </w:r>
      <w:r w:rsidR="00A21F63" w:rsidRPr="00280C64">
        <w:rPr>
          <w:rFonts w:cs="Times New Roman"/>
          <w:szCs w:val="24"/>
        </w:rPr>
        <w:t xml:space="preserve"> only </w:t>
      </w:r>
      <w:r w:rsidR="00A178D7">
        <w:rPr>
          <w:rFonts w:cs="Times New Roman"/>
          <w:szCs w:val="24"/>
        </w:rPr>
        <w:t xml:space="preserve">become </w:t>
      </w:r>
      <w:r w:rsidR="00A21F63" w:rsidRPr="00280C64">
        <w:rPr>
          <w:rFonts w:cs="Times New Roman"/>
          <w:szCs w:val="24"/>
        </w:rPr>
        <w:t xml:space="preserve">worrisome </w:t>
      </w:r>
      <w:r w:rsidR="00A178D7">
        <w:rPr>
          <w:rFonts w:cs="Times New Roman"/>
          <w:szCs w:val="24"/>
        </w:rPr>
        <w:t xml:space="preserve">and worthy of an explanation by way of defence if there are indications </w:t>
      </w:r>
      <w:r w:rsidR="00A21F63" w:rsidRPr="00280C64">
        <w:rPr>
          <w:rFonts w:cs="Times New Roman"/>
          <w:szCs w:val="24"/>
        </w:rPr>
        <w:t xml:space="preserve">of action </w:t>
      </w:r>
      <w:r w:rsidR="00A178D7">
        <w:rPr>
          <w:rFonts w:cs="Times New Roman"/>
          <w:szCs w:val="24"/>
        </w:rPr>
        <w:t xml:space="preserve">which </w:t>
      </w:r>
      <w:r w:rsidR="00A21F63" w:rsidRPr="00280C64">
        <w:rPr>
          <w:rFonts w:cs="Times New Roman"/>
          <w:szCs w:val="24"/>
        </w:rPr>
        <w:t xml:space="preserve">follows </w:t>
      </w:r>
      <w:r w:rsidR="00A178D7">
        <w:rPr>
          <w:rFonts w:cs="Times New Roman"/>
          <w:szCs w:val="24"/>
        </w:rPr>
        <w:t>the viewing.</w:t>
      </w:r>
    </w:p>
    <w:p w:rsidR="00280C64" w:rsidRDefault="00280C64" w:rsidP="00EF791A">
      <w:pPr>
        <w:jc w:val="both"/>
        <w:rPr>
          <w:rFonts w:cs="Times New Roman"/>
          <w:szCs w:val="24"/>
          <w:lang/>
        </w:rPr>
      </w:pPr>
    </w:p>
    <w:p w:rsidR="00BA33D3" w:rsidRPr="00280C64" w:rsidRDefault="00A178D7" w:rsidP="00EF791A">
      <w:pPr>
        <w:jc w:val="both"/>
        <w:rPr>
          <w:rFonts w:cs="Times New Roman"/>
          <w:szCs w:val="24"/>
        </w:rPr>
      </w:pPr>
      <w:r>
        <w:rPr>
          <w:rFonts w:cs="Times New Roman"/>
          <w:szCs w:val="24"/>
          <w:lang/>
        </w:rPr>
        <w:t>(d) As for '</w:t>
      </w:r>
      <w:r w:rsidR="00E92808" w:rsidRPr="00280C64">
        <w:rPr>
          <w:rFonts w:cs="Times New Roman"/>
          <w:szCs w:val="24"/>
          <w:lang/>
        </w:rPr>
        <w:t>practicality</w:t>
      </w:r>
      <w:r>
        <w:rPr>
          <w:rFonts w:cs="Times New Roman"/>
          <w:szCs w:val="24"/>
          <w:lang/>
        </w:rPr>
        <w:t>', the question is whether there is sufficient certainty in the terms of clause 3 to make it viable as an offence to be prosecuted. For instance, questions have been raised about whether three viewings over a</w:t>
      </w:r>
      <w:r w:rsidR="00217EEB">
        <w:rPr>
          <w:rFonts w:cs="Times New Roman"/>
          <w:szCs w:val="24"/>
          <w:lang/>
        </w:rPr>
        <w:t xml:space="preserve"> long period (more than, say, several</w:t>
      </w:r>
      <w:r>
        <w:rPr>
          <w:rFonts w:cs="Times New Roman"/>
          <w:szCs w:val="24"/>
          <w:lang/>
        </w:rPr>
        <w:t xml:space="preserve"> months) would really fit the purpose of the offence, especially if the items viewed are each of a wholly distinct nature. More</w:t>
      </w:r>
      <w:r w:rsidR="00E92808" w:rsidRPr="00280C64">
        <w:rPr>
          <w:rFonts w:cs="Times New Roman"/>
          <w:szCs w:val="24"/>
          <w:lang/>
        </w:rPr>
        <w:t xml:space="preserve"> uncertainty </w:t>
      </w:r>
      <w:r>
        <w:rPr>
          <w:rFonts w:cs="Times New Roman"/>
          <w:szCs w:val="24"/>
          <w:lang/>
        </w:rPr>
        <w:t>arises over</w:t>
      </w:r>
      <w:r w:rsidR="00E92808" w:rsidRPr="00280C64">
        <w:rPr>
          <w:rFonts w:cs="Times New Roman"/>
          <w:szCs w:val="24"/>
        </w:rPr>
        <w:t xml:space="preserve"> what is a ‘view’</w:t>
      </w:r>
      <w:r w:rsidR="00A21F63" w:rsidRPr="00280C64">
        <w:rPr>
          <w:rFonts w:cs="Times New Roman"/>
          <w:szCs w:val="24"/>
        </w:rPr>
        <w:t>. Just because a page appears</w:t>
      </w:r>
      <w:r>
        <w:rPr>
          <w:rFonts w:cs="Times New Roman"/>
          <w:szCs w:val="24"/>
        </w:rPr>
        <w:t xml:space="preserve"> on a computer screen</w:t>
      </w:r>
      <w:r w:rsidR="00A21F63" w:rsidRPr="00280C64">
        <w:rPr>
          <w:rFonts w:cs="Times New Roman"/>
          <w:szCs w:val="24"/>
        </w:rPr>
        <w:t xml:space="preserve"> does not mean </w:t>
      </w:r>
      <w:r>
        <w:rPr>
          <w:rFonts w:cs="Times New Roman"/>
          <w:szCs w:val="24"/>
        </w:rPr>
        <w:t>that it is viewed</w:t>
      </w:r>
      <w:r w:rsidR="00A21F63" w:rsidRPr="00280C64">
        <w:rPr>
          <w:rFonts w:cs="Times New Roman"/>
          <w:szCs w:val="24"/>
        </w:rPr>
        <w:t xml:space="preserve">. </w:t>
      </w:r>
      <w:r>
        <w:rPr>
          <w:rFonts w:cs="Times New Roman"/>
          <w:szCs w:val="24"/>
        </w:rPr>
        <w:t xml:space="preserve">It might be generated by automatic means </w:t>
      </w:r>
      <w:r>
        <w:rPr>
          <w:rFonts w:cs="Times New Roman"/>
          <w:szCs w:val="24"/>
        </w:rPr>
        <w:lastRenderedPageBreak/>
        <w:t>as a form of spam and deleted as soon as it is discovered to have been accessed. In addition, w</w:t>
      </w:r>
      <w:r w:rsidR="00A21F63" w:rsidRPr="00280C64">
        <w:rPr>
          <w:rFonts w:cs="Times New Roman"/>
          <w:szCs w:val="24"/>
        </w:rPr>
        <w:t xml:space="preserve">hat proportion </w:t>
      </w:r>
      <w:r>
        <w:rPr>
          <w:rFonts w:cs="Times New Roman"/>
          <w:szCs w:val="24"/>
        </w:rPr>
        <w:t>of a page or document is it necessary to view? Some materials (such as an online magazine) may be terrorist related or unrelated</w:t>
      </w:r>
      <w:r w:rsidR="00546A84">
        <w:rPr>
          <w:rFonts w:cs="Times New Roman"/>
          <w:szCs w:val="24"/>
        </w:rPr>
        <w:t xml:space="preserve"> or both at the same time</w:t>
      </w:r>
      <w:r>
        <w:rPr>
          <w:rFonts w:cs="Times New Roman"/>
          <w:szCs w:val="24"/>
        </w:rPr>
        <w:t xml:space="preserve">. For example, an edition of </w:t>
      </w:r>
      <w:r w:rsidRPr="00546A84">
        <w:rPr>
          <w:rFonts w:cs="Times New Roman"/>
          <w:i/>
          <w:szCs w:val="24"/>
        </w:rPr>
        <w:t>Inspire</w:t>
      </w:r>
      <w:r>
        <w:rPr>
          <w:rFonts w:cs="Times New Roman"/>
          <w:szCs w:val="24"/>
        </w:rPr>
        <w:t xml:space="preserve"> might contain </w:t>
      </w:r>
      <w:r w:rsidR="008F2132">
        <w:rPr>
          <w:rFonts w:cs="Times New Roman"/>
          <w:szCs w:val="24"/>
        </w:rPr>
        <w:t xml:space="preserve">one article </w:t>
      </w:r>
      <w:r>
        <w:rPr>
          <w:rFonts w:cs="Times New Roman"/>
          <w:szCs w:val="24"/>
        </w:rPr>
        <w:t xml:space="preserve">about how to make a bomb </w:t>
      </w:r>
      <w:r w:rsidR="008F2132">
        <w:rPr>
          <w:rFonts w:cs="Times New Roman"/>
          <w:szCs w:val="24"/>
        </w:rPr>
        <w:t xml:space="preserve">and another about </w:t>
      </w:r>
      <w:r w:rsidR="00740A03">
        <w:rPr>
          <w:rFonts w:cs="Times New Roman"/>
          <w:szCs w:val="24"/>
        </w:rPr>
        <w:t xml:space="preserve">arcane </w:t>
      </w:r>
      <w:r w:rsidR="008F2132">
        <w:rPr>
          <w:rFonts w:cs="Times New Roman"/>
          <w:szCs w:val="24"/>
        </w:rPr>
        <w:t xml:space="preserve">religious doctrine. What if the edition of </w:t>
      </w:r>
      <w:r w:rsidR="008F2132" w:rsidRPr="008F2132">
        <w:rPr>
          <w:rFonts w:cs="Times New Roman"/>
          <w:i/>
          <w:szCs w:val="24"/>
        </w:rPr>
        <w:t>Inspire</w:t>
      </w:r>
      <w:r w:rsidR="008F2132">
        <w:rPr>
          <w:rFonts w:cs="Times New Roman"/>
          <w:szCs w:val="24"/>
        </w:rPr>
        <w:t xml:space="preserve"> is read selectively?</w:t>
      </w:r>
      <w:r>
        <w:rPr>
          <w:rFonts w:cs="Times New Roman"/>
          <w:szCs w:val="24"/>
        </w:rPr>
        <w:t xml:space="preserve"> </w:t>
      </w:r>
      <w:r w:rsidR="008F2132">
        <w:rPr>
          <w:rFonts w:cs="Times New Roman"/>
          <w:szCs w:val="24"/>
        </w:rPr>
        <w:t>The issue of u</w:t>
      </w:r>
      <w:r w:rsidR="00A21F63" w:rsidRPr="00280C64">
        <w:rPr>
          <w:rFonts w:cs="Times New Roman"/>
          <w:szCs w:val="24"/>
        </w:rPr>
        <w:t xml:space="preserve">ncertainty </w:t>
      </w:r>
      <w:r w:rsidR="008F2132">
        <w:rPr>
          <w:rFonts w:cs="Times New Roman"/>
          <w:szCs w:val="24"/>
        </w:rPr>
        <w:t xml:space="preserve">has also been raised in debates in relation to the meaning of the defence of </w:t>
      </w:r>
      <w:r w:rsidR="00E92808" w:rsidRPr="00280C64">
        <w:rPr>
          <w:rFonts w:cs="Times New Roman"/>
          <w:szCs w:val="24"/>
        </w:rPr>
        <w:t xml:space="preserve">reasonable </w:t>
      </w:r>
      <w:r w:rsidR="008F2132">
        <w:rPr>
          <w:rFonts w:cs="Times New Roman"/>
          <w:szCs w:val="24"/>
        </w:rPr>
        <w:t>excuse, which will come more to the fore as</w:t>
      </w:r>
      <w:r w:rsidR="00A21F63" w:rsidRPr="00280C64">
        <w:rPr>
          <w:rFonts w:cs="Times New Roman"/>
          <w:szCs w:val="24"/>
        </w:rPr>
        <w:t xml:space="preserve"> an issue </w:t>
      </w:r>
      <w:r w:rsidR="008F2132">
        <w:rPr>
          <w:rFonts w:cs="Times New Roman"/>
          <w:szCs w:val="24"/>
        </w:rPr>
        <w:t>once</w:t>
      </w:r>
      <w:r w:rsidR="00A21F63" w:rsidRPr="00280C64">
        <w:rPr>
          <w:rFonts w:cs="Times New Roman"/>
          <w:szCs w:val="24"/>
        </w:rPr>
        <w:t xml:space="preserve"> the ambit </w:t>
      </w:r>
      <w:r w:rsidR="008F2132">
        <w:rPr>
          <w:rFonts w:cs="Times New Roman"/>
          <w:szCs w:val="24"/>
        </w:rPr>
        <w:t>of the offending behaviour has been extended</w:t>
      </w:r>
      <w:r w:rsidR="00AD2396" w:rsidRPr="00280C64">
        <w:rPr>
          <w:rFonts w:cs="Times New Roman"/>
          <w:szCs w:val="24"/>
          <w:lang/>
        </w:rPr>
        <w:t>.</w:t>
      </w:r>
    </w:p>
    <w:p w:rsidR="00BA33D3" w:rsidRDefault="00BA33D3" w:rsidP="00EF791A">
      <w:pPr>
        <w:jc w:val="both"/>
        <w:rPr>
          <w:rFonts w:cs="Times New Roman"/>
          <w:szCs w:val="24"/>
        </w:rPr>
      </w:pPr>
    </w:p>
    <w:p w:rsidR="008F2132" w:rsidRPr="00AB2BF4" w:rsidRDefault="008F2132" w:rsidP="00EF791A">
      <w:pPr>
        <w:jc w:val="both"/>
        <w:rPr>
          <w:rFonts w:cs="Times New Roman"/>
          <w:szCs w:val="24"/>
        </w:rPr>
      </w:pPr>
    </w:p>
    <w:p w:rsidR="00E92808" w:rsidRDefault="008F2132" w:rsidP="00EF791A">
      <w:pPr>
        <w:jc w:val="both"/>
        <w:rPr>
          <w:rFonts w:cs="Times New Roman"/>
          <w:szCs w:val="24"/>
        </w:rPr>
      </w:pPr>
      <w:r>
        <w:rPr>
          <w:rFonts w:cs="Times New Roman"/>
          <w:szCs w:val="24"/>
        </w:rPr>
        <w:t>3</w:t>
      </w:r>
      <w:r>
        <w:rPr>
          <w:rFonts w:cs="Times New Roman"/>
          <w:szCs w:val="24"/>
        </w:rPr>
        <w:tab/>
        <w:t xml:space="preserve">Without prejudice to the foregoing </w:t>
      </w:r>
      <w:r w:rsidR="0064186F">
        <w:rPr>
          <w:rFonts w:cs="Times New Roman"/>
          <w:szCs w:val="24"/>
        </w:rPr>
        <w:t xml:space="preserve">negative </w:t>
      </w:r>
      <w:r>
        <w:rPr>
          <w:rFonts w:cs="Times New Roman"/>
          <w:szCs w:val="24"/>
        </w:rPr>
        <w:t>answ</w:t>
      </w:r>
      <w:r w:rsidR="0064186F">
        <w:rPr>
          <w:rFonts w:cs="Times New Roman"/>
          <w:szCs w:val="24"/>
        </w:rPr>
        <w:t>er to the fundamental ques</w:t>
      </w:r>
      <w:r w:rsidR="00D45BDB">
        <w:rPr>
          <w:rFonts w:cs="Times New Roman"/>
          <w:szCs w:val="24"/>
        </w:rPr>
        <w:t>tion as to whether any amendment</w:t>
      </w:r>
      <w:r w:rsidR="0064186F">
        <w:rPr>
          <w:rFonts w:cs="Times New Roman"/>
          <w:szCs w:val="24"/>
        </w:rPr>
        <w:t xml:space="preserve"> is neede</w:t>
      </w:r>
      <w:r w:rsidR="00D45BDB">
        <w:rPr>
          <w:rFonts w:cs="Times New Roman"/>
          <w:szCs w:val="24"/>
        </w:rPr>
        <w:t>d for section 58, we have</w:t>
      </w:r>
      <w:r w:rsidR="0064186F">
        <w:rPr>
          <w:rFonts w:cs="Times New Roman"/>
          <w:szCs w:val="24"/>
        </w:rPr>
        <w:t xml:space="preserve"> considered whether</w:t>
      </w:r>
      <w:r w:rsidR="00217EEB">
        <w:rPr>
          <w:rFonts w:cs="Times New Roman"/>
          <w:szCs w:val="24"/>
        </w:rPr>
        <w:t xml:space="preserve"> – if changes are needed at all </w:t>
      </w:r>
      <w:proofErr w:type="gramStart"/>
      <w:r w:rsidR="00217EEB">
        <w:rPr>
          <w:rFonts w:cs="Times New Roman"/>
          <w:szCs w:val="24"/>
        </w:rPr>
        <w:t xml:space="preserve">- </w:t>
      </w:r>
      <w:r w:rsidR="0064186F">
        <w:rPr>
          <w:rFonts w:cs="Times New Roman"/>
          <w:szCs w:val="24"/>
        </w:rPr>
        <w:t xml:space="preserve"> minor</w:t>
      </w:r>
      <w:proofErr w:type="gramEnd"/>
      <w:r w:rsidR="0064186F">
        <w:rPr>
          <w:rFonts w:cs="Times New Roman"/>
          <w:szCs w:val="24"/>
        </w:rPr>
        <w:t xml:space="preserve"> changes could be made in way</w:t>
      </w:r>
      <w:r w:rsidR="00740A03">
        <w:rPr>
          <w:rFonts w:cs="Times New Roman"/>
          <w:szCs w:val="24"/>
        </w:rPr>
        <w:t>s</w:t>
      </w:r>
      <w:r w:rsidR="0064186F">
        <w:rPr>
          <w:rFonts w:cs="Times New Roman"/>
          <w:szCs w:val="24"/>
        </w:rPr>
        <w:t xml:space="preserve"> which </w:t>
      </w:r>
      <w:r w:rsidR="00740A03">
        <w:rPr>
          <w:rFonts w:cs="Times New Roman"/>
          <w:szCs w:val="24"/>
        </w:rPr>
        <w:t>are</w:t>
      </w:r>
      <w:r w:rsidR="0064186F">
        <w:rPr>
          <w:rFonts w:cs="Times New Roman"/>
          <w:szCs w:val="24"/>
        </w:rPr>
        <w:t xml:space="preserve"> not only compatible with principle, but also practical and worthwhile.</w:t>
      </w:r>
      <w:r w:rsidR="00343E33">
        <w:rPr>
          <w:rFonts w:cs="Times New Roman"/>
          <w:szCs w:val="24"/>
        </w:rPr>
        <w:t xml:space="preserve"> There are three preliminary considerations to be canvassed here.</w:t>
      </w:r>
    </w:p>
    <w:p w:rsidR="00343E33" w:rsidRDefault="00343E33" w:rsidP="00EF791A">
      <w:pPr>
        <w:jc w:val="both"/>
        <w:rPr>
          <w:rFonts w:cs="Times New Roman"/>
          <w:szCs w:val="24"/>
        </w:rPr>
      </w:pPr>
    </w:p>
    <w:p w:rsidR="00343E33" w:rsidRPr="00AB2BF4" w:rsidRDefault="00343E33" w:rsidP="00EF791A">
      <w:pPr>
        <w:jc w:val="both"/>
        <w:rPr>
          <w:rFonts w:cs="Times New Roman"/>
          <w:szCs w:val="24"/>
        </w:rPr>
      </w:pPr>
      <w:r>
        <w:rPr>
          <w:rFonts w:cs="Times New Roman"/>
          <w:szCs w:val="24"/>
        </w:rPr>
        <w:t>(a) The need for a '</w:t>
      </w:r>
      <w:r w:rsidRPr="00343E33">
        <w:rPr>
          <w:rFonts w:cs="Times New Roman"/>
          <w:szCs w:val="24"/>
        </w:rPr>
        <w:t>digital fix</w:t>
      </w:r>
      <w:r>
        <w:rPr>
          <w:rFonts w:cs="Times New Roman"/>
          <w:szCs w:val="24"/>
        </w:rPr>
        <w:t xml:space="preserve">' has been put forward as a call to </w:t>
      </w:r>
      <w:r w:rsidR="00740A03">
        <w:rPr>
          <w:rFonts w:cs="Times New Roman"/>
          <w:szCs w:val="24"/>
        </w:rPr>
        <w:t xml:space="preserve">official </w:t>
      </w:r>
      <w:r>
        <w:rPr>
          <w:rFonts w:cs="Times New Roman"/>
          <w:szCs w:val="24"/>
        </w:rPr>
        <w:t xml:space="preserve">action on the basis that </w:t>
      </w:r>
      <w:r w:rsidRPr="00343E33">
        <w:rPr>
          <w:rFonts w:cs="Times New Roman"/>
          <w:szCs w:val="24"/>
        </w:rPr>
        <w:t>no ‘record’</w:t>
      </w:r>
      <w:r w:rsidRPr="00AB2BF4">
        <w:rPr>
          <w:rStyle w:val="FootnoteReference"/>
          <w:rFonts w:cs="Times New Roman"/>
          <w:szCs w:val="24"/>
        </w:rPr>
        <w:footnoteReference w:id="13"/>
      </w:r>
      <w:r>
        <w:rPr>
          <w:rFonts w:cs="Times New Roman"/>
          <w:szCs w:val="24"/>
        </w:rPr>
        <w:t xml:space="preserve"> may have been created by internet activity. In reality, it is</w:t>
      </w:r>
      <w:r w:rsidRPr="00343E33">
        <w:rPr>
          <w:rFonts w:cs="Times New Roman"/>
          <w:szCs w:val="24"/>
        </w:rPr>
        <w:t xml:space="preserve"> technically hard</w:t>
      </w:r>
      <w:r w:rsidR="00740A03">
        <w:rPr>
          <w:rFonts w:cs="Times New Roman"/>
          <w:szCs w:val="24"/>
        </w:rPr>
        <w:t xml:space="preserve"> to</w:t>
      </w:r>
      <w:r w:rsidRPr="00343E33">
        <w:rPr>
          <w:rFonts w:cs="Times New Roman"/>
          <w:szCs w:val="24"/>
        </w:rPr>
        <w:t xml:space="preserve"> </w:t>
      </w:r>
      <w:r>
        <w:rPr>
          <w:rFonts w:cs="Times New Roman"/>
          <w:szCs w:val="24"/>
        </w:rPr>
        <w:t xml:space="preserve">use a computer </w:t>
      </w:r>
      <w:r w:rsidRPr="00343E33">
        <w:rPr>
          <w:rFonts w:cs="Times New Roman"/>
          <w:szCs w:val="24"/>
        </w:rPr>
        <w:t>to view any</w:t>
      </w:r>
      <w:r>
        <w:rPr>
          <w:rFonts w:cs="Times New Roman"/>
          <w:szCs w:val="24"/>
        </w:rPr>
        <w:t xml:space="preserve"> data</w:t>
      </w:r>
      <w:r w:rsidRPr="00343E33">
        <w:rPr>
          <w:rFonts w:cs="Times New Roman"/>
          <w:szCs w:val="24"/>
        </w:rPr>
        <w:t xml:space="preserve"> on the internet without downloading some temporary file at </w:t>
      </w:r>
      <w:r w:rsidR="00740A03">
        <w:rPr>
          <w:rFonts w:cs="Times New Roman"/>
          <w:szCs w:val="24"/>
        </w:rPr>
        <w:t>some point</w:t>
      </w:r>
      <w:r w:rsidRPr="00343E33">
        <w:rPr>
          <w:rFonts w:cs="Times New Roman"/>
          <w:szCs w:val="24"/>
        </w:rPr>
        <w:t xml:space="preserve">. However, one might imagine either some forms of streaming or chat facilities or </w:t>
      </w:r>
      <w:r>
        <w:rPr>
          <w:rFonts w:cs="Times New Roman"/>
          <w:szCs w:val="24"/>
        </w:rPr>
        <w:t xml:space="preserve">even </w:t>
      </w:r>
      <w:r w:rsidRPr="00343E33">
        <w:rPr>
          <w:rFonts w:cs="Times New Roman"/>
          <w:szCs w:val="24"/>
        </w:rPr>
        <w:t xml:space="preserve">access </w:t>
      </w:r>
      <w:r w:rsidR="00740A03">
        <w:rPr>
          <w:rFonts w:cs="Times New Roman"/>
          <w:szCs w:val="24"/>
        </w:rPr>
        <w:t>via</w:t>
      </w:r>
      <w:r>
        <w:rPr>
          <w:rFonts w:cs="Times New Roman"/>
          <w:szCs w:val="24"/>
        </w:rPr>
        <w:t xml:space="preserve"> a computer </w:t>
      </w:r>
      <w:r w:rsidR="00740A03">
        <w:rPr>
          <w:rFonts w:cs="Times New Roman"/>
          <w:szCs w:val="24"/>
        </w:rPr>
        <w:t>in</w:t>
      </w:r>
      <w:r w:rsidRPr="00343E33">
        <w:rPr>
          <w:rFonts w:cs="Times New Roman"/>
          <w:szCs w:val="24"/>
        </w:rPr>
        <w:t xml:space="preserve"> an internet café where any download is not within the ownership</w:t>
      </w:r>
      <w:r>
        <w:rPr>
          <w:rFonts w:cs="Times New Roman"/>
          <w:szCs w:val="24"/>
        </w:rPr>
        <w:t xml:space="preserve">, </w:t>
      </w:r>
      <w:r w:rsidRPr="00343E33">
        <w:rPr>
          <w:rFonts w:cs="Times New Roman"/>
          <w:szCs w:val="24"/>
        </w:rPr>
        <w:t xml:space="preserve">control </w:t>
      </w:r>
      <w:r>
        <w:rPr>
          <w:rFonts w:cs="Times New Roman"/>
          <w:szCs w:val="24"/>
        </w:rPr>
        <w:t xml:space="preserve">or possession </w:t>
      </w:r>
      <w:r w:rsidRPr="00343E33">
        <w:rPr>
          <w:rFonts w:cs="Times New Roman"/>
          <w:szCs w:val="24"/>
        </w:rPr>
        <w:t xml:space="preserve">of the </w:t>
      </w:r>
      <w:r>
        <w:rPr>
          <w:rFonts w:cs="Times New Roman"/>
          <w:szCs w:val="24"/>
        </w:rPr>
        <w:t>viewer</w:t>
      </w:r>
      <w:r w:rsidRPr="00343E33">
        <w:rPr>
          <w:rFonts w:cs="Times New Roman"/>
          <w:szCs w:val="24"/>
        </w:rPr>
        <w:t xml:space="preserve">, so </w:t>
      </w:r>
      <w:r>
        <w:rPr>
          <w:rFonts w:cs="Times New Roman"/>
          <w:szCs w:val="24"/>
        </w:rPr>
        <w:t xml:space="preserve">that </w:t>
      </w:r>
      <w:r w:rsidRPr="00343E33">
        <w:rPr>
          <w:rFonts w:cs="Times New Roman"/>
          <w:szCs w:val="24"/>
        </w:rPr>
        <w:t>the only accessible download might be to the person’s memory.</w:t>
      </w:r>
      <w:r>
        <w:rPr>
          <w:rFonts w:cs="Times New Roman"/>
          <w:szCs w:val="24"/>
        </w:rPr>
        <w:t xml:space="preserve"> </w:t>
      </w:r>
    </w:p>
    <w:p w:rsidR="00E92808" w:rsidRPr="00AB2BF4" w:rsidRDefault="00E92808" w:rsidP="00EF791A">
      <w:pPr>
        <w:jc w:val="both"/>
        <w:rPr>
          <w:rFonts w:cs="Times New Roman"/>
          <w:szCs w:val="24"/>
        </w:rPr>
      </w:pPr>
    </w:p>
    <w:p w:rsidR="00BA0859" w:rsidRPr="00343E33" w:rsidRDefault="00343E33" w:rsidP="00343E33">
      <w:pPr>
        <w:jc w:val="both"/>
        <w:rPr>
          <w:rFonts w:cs="Times New Roman"/>
          <w:szCs w:val="24"/>
        </w:rPr>
      </w:pPr>
      <w:r>
        <w:rPr>
          <w:rFonts w:cs="Times New Roman"/>
          <w:szCs w:val="24"/>
        </w:rPr>
        <w:t xml:space="preserve">(b) Another 'mischief' </w:t>
      </w:r>
      <w:r w:rsidR="00C615E7">
        <w:rPr>
          <w:rFonts w:cs="Times New Roman"/>
          <w:szCs w:val="24"/>
        </w:rPr>
        <w:t>sought to be caught by</w:t>
      </w:r>
      <w:r>
        <w:rPr>
          <w:rFonts w:cs="Times New Roman"/>
          <w:szCs w:val="24"/>
        </w:rPr>
        <w:t xml:space="preserve"> the </w:t>
      </w:r>
      <w:r w:rsidR="00C615E7">
        <w:rPr>
          <w:rFonts w:cs="Times New Roman"/>
          <w:szCs w:val="24"/>
        </w:rPr>
        <w:t>proposed legislation</w:t>
      </w:r>
      <w:r>
        <w:rPr>
          <w:rFonts w:cs="Times New Roman"/>
          <w:szCs w:val="24"/>
        </w:rPr>
        <w:t xml:space="preserve"> is the </w:t>
      </w:r>
      <w:r w:rsidR="00BA0859" w:rsidRPr="00343E33">
        <w:rPr>
          <w:rFonts w:cs="Times New Roman"/>
          <w:szCs w:val="24"/>
        </w:rPr>
        <w:t xml:space="preserve">need to capture (and </w:t>
      </w:r>
      <w:r>
        <w:rPr>
          <w:rFonts w:cs="Times New Roman"/>
          <w:szCs w:val="24"/>
        </w:rPr>
        <w:t>to base</w:t>
      </w:r>
      <w:r w:rsidR="00BA0859" w:rsidRPr="00343E33">
        <w:rPr>
          <w:rFonts w:cs="Times New Roman"/>
          <w:szCs w:val="24"/>
        </w:rPr>
        <w:t xml:space="preserve"> the </w:t>
      </w:r>
      <w:r>
        <w:rPr>
          <w:rFonts w:cs="Times New Roman"/>
          <w:szCs w:val="24"/>
        </w:rPr>
        <w:t xml:space="preserve">clause 3 </w:t>
      </w:r>
      <w:r w:rsidR="00BA0859" w:rsidRPr="00343E33">
        <w:rPr>
          <w:rFonts w:cs="Times New Roman"/>
          <w:szCs w:val="24"/>
        </w:rPr>
        <w:t xml:space="preserve">offence </w:t>
      </w:r>
      <w:r>
        <w:rPr>
          <w:rFonts w:cs="Times New Roman"/>
          <w:szCs w:val="24"/>
        </w:rPr>
        <w:t>around</w:t>
      </w:r>
      <w:r w:rsidR="00BA0859" w:rsidRPr="00343E33">
        <w:rPr>
          <w:rFonts w:cs="Times New Roman"/>
          <w:szCs w:val="24"/>
        </w:rPr>
        <w:t>) the idea of ‘a pattern of behaviour, rather than a deliberate but one off action (perhaps sparked by mere curiosity) or the unintended viewing of such material, for example by inadvertently clicking on the wrong internet link’.</w:t>
      </w:r>
      <w:r w:rsidR="00BA0859" w:rsidRPr="00AB2BF4">
        <w:rPr>
          <w:rStyle w:val="FootnoteReference"/>
          <w:rFonts w:cs="Times New Roman"/>
          <w:szCs w:val="24"/>
        </w:rPr>
        <w:footnoteReference w:id="14"/>
      </w:r>
      <w:r w:rsidR="00BA0859" w:rsidRPr="00343E33">
        <w:rPr>
          <w:rFonts w:cs="Times New Roman"/>
          <w:szCs w:val="24"/>
        </w:rPr>
        <w:t xml:space="preserve"> This notion of ‘pattern’ is inadequately captured </w:t>
      </w:r>
      <w:r w:rsidR="00740A03">
        <w:rPr>
          <w:rFonts w:cs="Times New Roman"/>
          <w:szCs w:val="24"/>
        </w:rPr>
        <w:t>in clause 3</w:t>
      </w:r>
      <w:r w:rsidR="00BA0859" w:rsidRPr="00343E33">
        <w:rPr>
          <w:rFonts w:cs="Times New Roman"/>
          <w:szCs w:val="24"/>
        </w:rPr>
        <w:t xml:space="preserve"> because there is no sense of linkage of the </w:t>
      </w:r>
      <w:r w:rsidR="00740A03">
        <w:rPr>
          <w:rFonts w:cs="Times New Roman"/>
          <w:szCs w:val="24"/>
        </w:rPr>
        <w:t xml:space="preserve">individual </w:t>
      </w:r>
      <w:r w:rsidR="00BA0859" w:rsidRPr="00343E33">
        <w:rPr>
          <w:rFonts w:cs="Times New Roman"/>
          <w:szCs w:val="24"/>
        </w:rPr>
        <w:t>viewing</w:t>
      </w:r>
      <w:r w:rsidR="00740A03">
        <w:rPr>
          <w:rFonts w:cs="Times New Roman"/>
          <w:szCs w:val="24"/>
        </w:rPr>
        <w:t>s</w:t>
      </w:r>
      <w:r w:rsidR="00BA0859" w:rsidRPr="00343E33">
        <w:rPr>
          <w:rFonts w:cs="Times New Roman"/>
          <w:szCs w:val="24"/>
        </w:rPr>
        <w:t xml:space="preserve"> – there is repetition but not necessarily any pattern evident from the repetition</w:t>
      </w:r>
      <w:r w:rsidR="006908D4" w:rsidRPr="00343E33">
        <w:rPr>
          <w:rFonts w:cs="Times New Roman"/>
          <w:szCs w:val="24"/>
        </w:rPr>
        <w:t>, especially if the material is very varied and the period is elongated</w:t>
      </w:r>
      <w:r w:rsidR="00BA0859" w:rsidRPr="00343E33">
        <w:rPr>
          <w:rFonts w:cs="Times New Roman"/>
          <w:szCs w:val="24"/>
        </w:rPr>
        <w:t>.</w:t>
      </w:r>
      <w:r>
        <w:rPr>
          <w:rFonts w:cs="Times New Roman"/>
          <w:szCs w:val="24"/>
        </w:rPr>
        <w:t xml:space="preserve"> The argument might be that a 'pattern of behaviour' becomes the </w:t>
      </w:r>
      <w:r w:rsidR="00740A03">
        <w:rPr>
          <w:rFonts w:cs="Times New Roman"/>
          <w:szCs w:val="24"/>
        </w:rPr>
        <w:t xml:space="preserve">correct </w:t>
      </w:r>
      <w:r>
        <w:rPr>
          <w:rFonts w:cs="Times New Roman"/>
          <w:szCs w:val="24"/>
        </w:rPr>
        <w:t xml:space="preserve">focus of interest of the criminal law </w:t>
      </w:r>
      <w:r w:rsidR="00740A03">
        <w:rPr>
          <w:rFonts w:cs="Times New Roman"/>
          <w:szCs w:val="24"/>
        </w:rPr>
        <w:t>if</w:t>
      </w:r>
      <w:r>
        <w:rPr>
          <w:rFonts w:cs="Times New Roman"/>
          <w:szCs w:val="24"/>
        </w:rPr>
        <w:t xml:space="preserve"> it </w:t>
      </w:r>
      <w:r w:rsidR="00740A03">
        <w:rPr>
          <w:rFonts w:cs="Times New Roman"/>
          <w:szCs w:val="24"/>
        </w:rPr>
        <w:t>can with some certainty be</w:t>
      </w:r>
      <w:r>
        <w:rPr>
          <w:rFonts w:cs="Times New Roman"/>
          <w:szCs w:val="24"/>
        </w:rPr>
        <w:t xml:space="preserve"> taken to be an indicator of attachment to a way of thinking and </w:t>
      </w:r>
      <w:r w:rsidR="00740A03">
        <w:rPr>
          <w:rFonts w:cs="Times New Roman"/>
          <w:szCs w:val="24"/>
        </w:rPr>
        <w:t>to sympathy for</w:t>
      </w:r>
      <w:r>
        <w:rPr>
          <w:rFonts w:cs="Times New Roman"/>
          <w:szCs w:val="24"/>
        </w:rPr>
        <w:t xml:space="preserve"> </w:t>
      </w:r>
      <w:r w:rsidR="00740A03">
        <w:rPr>
          <w:rFonts w:cs="Times New Roman"/>
          <w:szCs w:val="24"/>
        </w:rPr>
        <w:t>putting words into deeds</w:t>
      </w:r>
      <w:r>
        <w:rPr>
          <w:rFonts w:cs="Times New Roman"/>
          <w:szCs w:val="24"/>
        </w:rPr>
        <w:t>.</w:t>
      </w:r>
    </w:p>
    <w:p w:rsidR="00343E33" w:rsidRPr="00343E33" w:rsidRDefault="00343E33" w:rsidP="00343E33">
      <w:pPr>
        <w:jc w:val="both"/>
        <w:rPr>
          <w:rFonts w:cs="Times New Roman"/>
          <w:szCs w:val="24"/>
        </w:rPr>
      </w:pPr>
    </w:p>
    <w:p w:rsidR="00E92808" w:rsidRPr="00343E33" w:rsidRDefault="00343E33" w:rsidP="00343E33">
      <w:pPr>
        <w:jc w:val="both"/>
        <w:rPr>
          <w:rFonts w:cs="Times New Roman"/>
          <w:szCs w:val="24"/>
        </w:rPr>
      </w:pPr>
      <w:r>
        <w:rPr>
          <w:rFonts w:cs="Times New Roman"/>
          <w:szCs w:val="24"/>
        </w:rPr>
        <w:t xml:space="preserve">(c) </w:t>
      </w:r>
      <w:r w:rsidR="004A499B">
        <w:rPr>
          <w:rFonts w:cs="Times New Roman"/>
          <w:szCs w:val="24"/>
        </w:rPr>
        <w:t>The term,</w:t>
      </w:r>
      <w:r>
        <w:rPr>
          <w:rFonts w:cs="Times New Roman"/>
          <w:szCs w:val="24"/>
        </w:rPr>
        <w:t xml:space="preserve"> </w:t>
      </w:r>
      <w:r w:rsidR="004A499B">
        <w:rPr>
          <w:rFonts w:cs="Times New Roman"/>
          <w:szCs w:val="24"/>
        </w:rPr>
        <w:t>'</w:t>
      </w:r>
      <w:r w:rsidR="00A21F63" w:rsidRPr="00343E33">
        <w:rPr>
          <w:rFonts w:cs="Times New Roman"/>
          <w:szCs w:val="24"/>
        </w:rPr>
        <w:t>reasonable excuse</w:t>
      </w:r>
      <w:r w:rsidR="004A499B">
        <w:rPr>
          <w:rFonts w:cs="Times New Roman"/>
          <w:szCs w:val="24"/>
        </w:rPr>
        <w:t>', has</w:t>
      </w:r>
      <w:r>
        <w:rPr>
          <w:rFonts w:cs="Times New Roman"/>
          <w:szCs w:val="24"/>
        </w:rPr>
        <w:t xml:space="preserve"> been canvassed as in need of further definition before any </w:t>
      </w:r>
      <w:r w:rsidR="00740A03">
        <w:rPr>
          <w:rFonts w:cs="Times New Roman"/>
          <w:szCs w:val="24"/>
        </w:rPr>
        <w:t xml:space="preserve">criminal law </w:t>
      </w:r>
      <w:r>
        <w:rPr>
          <w:rFonts w:cs="Times New Roman"/>
          <w:szCs w:val="24"/>
        </w:rPr>
        <w:t>extension can go ahead. However, this refinement is only required if the offence itself cannot be defined with sufficient preci</w:t>
      </w:r>
      <w:r w:rsidR="004A499B">
        <w:rPr>
          <w:rFonts w:cs="Times New Roman"/>
          <w:szCs w:val="24"/>
        </w:rPr>
        <w:t>si</w:t>
      </w:r>
      <w:r>
        <w:rPr>
          <w:rFonts w:cs="Times New Roman"/>
          <w:szCs w:val="24"/>
        </w:rPr>
        <w:t>on. If i</w:t>
      </w:r>
      <w:r w:rsidR="00C615E7">
        <w:rPr>
          <w:rFonts w:cs="Times New Roman"/>
          <w:szCs w:val="24"/>
        </w:rPr>
        <w:t>t cannot</w:t>
      </w:r>
      <w:r>
        <w:rPr>
          <w:rFonts w:cs="Times New Roman"/>
          <w:szCs w:val="24"/>
        </w:rPr>
        <w:t>, then the</w:t>
      </w:r>
      <w:r w:rsidR="00D45BDB">
        <w:rPr>
          <w:rFonts w:cs="Times New Roman"/>
          <w:szCs w:val="24"/>
        </w:rPr>
        <w:t xml:space="preserve"> new </w:t>
      </w:r>
      <w:r w:rsidR="00C615E7">
        <w:rPr>
          <w:rFonts w:cs="Times New Roman"/>
          <w:szCs w:val="24"/>
        </w:rPr>
        <w:t xml:space="preserve">variant </w:t>
      </w:r>
      <w:r w:rsidR="00D45BDB">
        <w:rPr>
          <w:rFonts w:cs="Times New Roman"/>
          <w:szCs w:val="24"/>
        </w:rPr>
        <w:t>offence should not proceed</w:t>
      </w:r>
      <w:r w:rsidR="00740A03">
        <w:rPr>
          <w:rFonts w:cs="Times New Roman"/>
          <w:szCs w:val="24"/>
        </w:rPr>
        <w:t xml:space="preserve"> at all because of the principled objection to reversing the burden of proof</w:t>
      </w:r>
      <w:r>
        <w:rPr>
          <w:rFonts w:cs="Times New Roman"/>
          <w:szCs w:val="24"/>
        </w:rPr>
        <w:t xml:space="preserve">. However, if the new </w:t>
      </w:r>
      <w:r w:rsidR="00D45BDB">
        <w:rPr>
          <w:rFonts w:cs="Times New Roman"/>
          <w:szCs w:val="24"/>
        </w:rPr>
        <w:t xml:space="preserve">variant of the section 58 </w:t>
      </w:r>
      <w:r>
        <w:rPr>
          <w:rFonts w:cs="Times New Roman"/>
          <w:szCs w:val="24"/>
        </w:rPr>
        <w:t>offence can be defined with more precision, then it would be better to leave reasonable suspicion as a broad concept to be applied in factual circumstance</w:t>
      </w:r>
      <w:r w:rsidR="00D45BDB">
        <w:rPr>
          <w:rFonts w:cs="Times New Roman"/>
          <w:szCs w:val="24"/>
        </w:rPr>
        <w:t>s</w:t>
      </w:r>
      <w:r>
        <w:rPr>
          <w:rFonts w:cs="Times New Roman"/>
          <w:szCs w:val="24"/>
        </w:rPr>
        <w:t xml:space="preserve"> </w:t>
      </w:r>
      <w:r w:rsidR="004A499B">
        <w:rPr>
          <w:rFonts w:cs="Times New Roman"/>
          <w:szCs w:val="24"/>
        </w:rPr>
        <w:t>by a jury. The defence will be more useful as a common sense brake on police and prosecutors rather than as a legal term of art which ordinary internet users will not understand.</w:t>
      </w:r>
    </w:p>
    <w:p w:rsidR="00BA33D3" w:rsidRDefault="00BA33D3" w:rsidP="00EF791A">
      <w:pPr>
        <w:jc w:val="both"/>
        <w:rPr>
          <w:rFonts w:cs="Times New Roman"/>
          <w:szCs w:val="24"/>
        </w:rPr>
      </w:pPr>
      <w:r w:rsidRPr="00AB2BF4">
        <w:rPr>
          <w:rFonts w:cs="Times New Roman"/>
          <w:szCs w:val="24"/>
        </w:rPr>
        <w:t xml:space="preserve"> </w:t>
      </w:r>
    </w:p>
    <w:p w:rsidR="004A499B" w:rsidRPr="00AB2BF4" w:rsidRDefault="004A499B" w:rsidP="00EF791A">
      <w:pPr>
        <w:jc w:val="both"/>
        <w:rPr>
          <w:rFonts w:cs="Times New Roman"/>
          <w:szCs w:val="24"/>
        </w:rPr>
      </w:pPr>
    </w:p>
    <w:p w:rsidR="00AF6A52" w:rsidRDefault="004A499B" w:rsidP="00EF791A">
      <w:pPr>
        <w:jc w:val="both"/>
        <w:rPr>
          <w:rFonts w:cs="Times New Roman"/>
          <w:szCs w:val="24"/>
        </w:rPr>
      </w:pPr>
      <w:r>
        <w:rPr>
          <w:rFonts w:cs="Times New Roman"/>
          <w:szCs w:val="24"/>
        </w:rPr>
        <w:lastRenderedPageBreak/>
        <w:t>4</w:t>
      </w:r>
      <w:r>
        <w:rPr>
          <w:rFonts w:cs="Times New Roman"/>
          <w:szCs w:val="24"/>
        </w:rPr>
        <w:tab/>
        <w:t>Bearing t</w:t>
      </w:r>
      <w:r w:rsidR="00D45BDB">
        <w:rPr>
          <w:rFonts w:cs="Times New Roman"/>
          <w:szCs w:val="24"/>
        </w:rPr>
        <w:t>hese three points in mind, we suggest</w:t>
      </w:r>
      <w:r>
        <w:rPr>
          <w:rFonts w:cs="Times New Roman"/>
          <w:szCs w:val="24"/>
        </w:rPr>
        <w:t xml:space="preserve"> that clause </w:t>
      </w:r>
      <w:r w:rsidR="00740A03">
        <w:rPr>
          <w:rFonts w:cs="Times New Roman"/>
          <w:szCs w:val="24"/>
        </w:rPr>
        <w:t>3</w:t>
      </w:r>
      <w:r>
        <w:rPr>
          <w:rFonts w:cs="Times New Roman"/>
          <w:szCs w:val="24"/>
        </w:rPr>
        <w:t xml:space="preserve"> could be reformulated into a more acceptable statement of </w:t>
      </w:r>
      <w:r w:rsidR="00740A03">
        <w:rPr>
          <w:rFonts w:cs="Times New Roman"/>
          <w:szCs w:val="24"/>
        </w:rPr>
        <w:t xml:space="preserve">the </w:t>
      </w:r>
      <w:r>
        <w:rPr>
          <w:rFonts w:cs="Times New Roman"/>
          <w:szCs w:val="24"/>
        </w:rPr>
        <w:t>criminal law by means of the following changes:</w:t>
      </w:r>
    </w:p>
    <w:p w:rsidR="004A499B" w:rsidRDefault="004A499B" w:rsidP="00EF791A">
      <w:pPr>
        <w:jc w:val="both"/>
        <w:rPr>
          <w:rFonts w:cs="Times New Roman"/>
          <w:szCs w:val="24"/>
        </w:rPr>
      </w:pPr>
    </w:p>
    <w:p w:rsidR="004A499B" w:rsidRDefault="004A499B" w:rsidP="00EF791A">
      <w:pPr>
        <w:jc w:val="both"/>
        <w:rPr>
          <w:rFonts w:cs="Times New Roman"/>
          <w:szCs w:val="24"/>
        </w:rPr>
      </w:pPr>
      <w:r>
        <w:rPr>
          <w:rFonts w:cs="Times New Roman"/>
          <w:szCs w:val="24"/>
        </w:rPr>
        <w:t xml:space="preserve">(a) It would be possible to state </w:t>
      </w:r>
      <w:r w:rsidRPr="00AB2BF4">
        <w:rPr>
          <w:rFonts w:cs="Times New Roman"/>
          <w:szCs w:val="24"/>
        </w:rPr>
        <w:t xml:space="preserve">a narrower </w:t>
      </w:r>
      <w:proofErr w:type="spellStart"/>
      <w:r w:rsidRPr="00AB2BF4">
        <w:rPr>
          <w:rFonts w:cs="Times New Roman"/>
          <w:i/>
          <w:szCs w:val="24"/>
        </w:rPr>
        <w:t>actus</w:t>
      </w:r>
      <w:proofErr w:type="spellEnd"/>
      <w:r w:rsidRPr="00AB2BF4">
        <w:rPr>
          <w:rFonts w:cs="Times New Roman"/>
          <w:i/>
          <w:szCs w:val="24"/>
        </w:rPr>
        <w:t xml:space="preserve"> </w:t>
      </w:r>
      <w:proofErr w:type="spellStart"/>
      <w:r w:rsidRPr="00AB2BF4">
        <w:rPr>
          <w:rFonts w:cs="Times New Roman"/>
          <w:i/>
          <w:szCs w:val="24"/>
        </w:rPr>
        <w:t>reus</w:t>
      </w:r>
      <w:proofErr w:type="spellEnd"/>
      <w:r>
        <w:rPr>
          <w:rFonts w:cs="Times New Roman"/>
          <w:szCs w:val="24"/>
        </w:rPr>
        <w:t xml:space="preserve"> in that the accessed </w:t>
      </w:r>
      <w:r w:rsidRPr="00AB2BF4">
        <w:rPr>
          <w:rFonts w:cs="Times New Roman"/>
          <w:szCs w:val="24"/>
        </w:rPr>
        <w:t xml:space="preserve">data </w:t>
      </w:r>
      <w:r>
        <w:rPr>
          <w:rFonts w:cs="Times New Roman"/>
          <w:szCs w:val="24"/>
        </w:rPr>
        <w:t xml:space="preserve">contrary to the offence must </w:t>
      </w:r>
      <w:r w:rsidRPr="00AB2BF4">
        <w:rPr>
          <w:rFonts w:cs="Times New Roman"/>
          <w:szCs w:val="24"/>
        </w:rPr>
        <w:t xml:space="preserve">directly encourage </w:t>
      </w:r>
      <w:r>
        <w:rPr>
          <w:rFonts w:cs="Times New Roman"/>
          <w:szCs w:val="24"/>
        </w:rPr>
        <w:t xml:space="preserve">or facilitate </w:t>
      </w:r>
      <w:r w:rsidRPr="00AB2BF4">
        <w:rPr>
          <w:rFonts w:cs="Times New Roman"/>
          <w:szCs w:val="24"/>
        </w:rPr>
        <w:t xml:space="preserve">the commission of terrorism acts </w:t>
      </w:r>
      <w:r>
        <w:rPr>
          <w:rFonts w:cs="Times New Roman"/>
          <w:szCs w:val="24"/>
        </w:rPr>
        <w:t>by the viewer</w:t>
      </w:r>
      <w:r w:rsidRPr="00AB2BF4">
        <w:rPr>
          <w:rFonts w:cs="Times New Roman"/>
          <w:szCs w:val="24"/>
        </w:rPr>
        <w:t>. This formulation is narrower than ‘information of a kind likely to be useful to a person committing or preparing an act of terrorism’ under s</w:t>
      </w:r>
      <w:r>
        <w:rPr>
          <w:rFonts w:cs="Times New Roman"/>
          <w:szCs w:val="24"/>
        </w:rPr>
        <w:t xml:space="preserve">ection </w:t>
      </w:r>
      <w:r w:rsidRPr="00AB2BF4">
        <w:rPr>
          <w:rFonts w:cs="Times New Roman"/>
          <w:szCs w:val="24"/>
        </w:rPr>
        <w:t>58</w:t>
      </w:r>
      <w:r>
        <w:rPr>
          <w:rFonts w:cs="Times New Roman"/>
          <w:szCs w:val="24"/>
        </w:rPr>
        <w:t>.</w:t>
      </w:r>
    </w:p>
    <w:p w:rsidR="004A499B" w:rsidRDefault="004A499B" w:rsidP="00EF791A">
      <w:pPr>
        <w:jc w:val="both"/>
        <w:rPr>
          <w:rFonts w:cs="Times New Roman"/>
          <w:szCs w:val="24"/>
        </w:rPr>
      </w:pPr>
    </w:p>
    <w:p w:rsidR="004A499B" w:rsidRDefault="004A499B" w:rsidP="004A499B">
      <w:pPr>
        <w:jc w:val="both"/>
        <w:rPr>
          <w:rFonts w:cs="Times New Roman"/>
          <w:szCs w:val="24"/>
        </w:rPr>
      </w:pPr>
      <w:r w:rsidRPr="004A499B">
        <w:rPr>
          <w:rFonts w:cs="Times New Roman"/>
          <w:szCs w:val="24"/>
        </w:rPr>
        <w:t xml:space="preserve">(b) Next, it would be </w:t>
      </w:r>
      <w:r>
        <w:rPr>
          <w:rFonts w:cs="Times New Roman"/>
          <w:szCs w:val="24"/>
        </w:rPr>
        <w:t xml:space="preserve">possible to formulate </w:t>
      </w:r>
      <w:r w:rsidRPr="004A499B">
        <w:rPr>
          <w:rFonts w:cs="Times New Roman"/>
          <w:szCs w:val="24"/>
        </w:rPr>
        <w:t xml:space="preserve">a narrower </w:t>
      </w:r>
      <w:proofErr w:type="spellStart"/>
      <w:r w:rsidRPr="004A499B">
        <w:rPr>
          <w:rFonts w:cs="Times New Roman"/>
          <w:i/>
          <w:szCs w:val="24"/>
        </w:rPr>
        <w:t>mens</w:t>
      </w:r>
      <w:proofErr w:type="spellEnd"/>
      <w:r w:rsidRPr="004A499B">
        <w:rPr>
          <w:rFonts w:cs="Times New Roman"/>
          <w:i/>
          <w:szCs w:val="24"/>
        </w:rPr>
        <w:t xml:space="preserve"> </w:t>
      </w:r>
      <w:proofErr w:type="spellStart"/>
      <w:r w:rsidRPr="004A499B">
        <w:rPr>
          <w:rFonts w:cs="Times New Roman"/>
          <w:i/>
          <w:szCs w:val="24"/>
        </w:rPr>
        <w:t>rea</w:t>
      </w:r>
      <w:proofErr w:type="spellEnd"/>
      <w:r>
        <w:rPr>
          <w:rFonts w:cs="Times New Roman"/>
          <w:szCs w:val="24"/>
        </w:rPr>
        <w:t xml:space="preserve"> by specifying</w:t>
      </w:r>
      <w:r w:rsidRPr="004A499B">
        <w:rPr>
          <w:rFonts w:cs="Times New Roman"/>
          <w:szCs w:val="24"/>
        </w:rPr>
        <w:t xml:space="preserve"> proof of intent to commit terrorism activities by the </w:t>
      </w:r>
      <w:r>
        <w:rPr>
          <w:rFonts w:cs="Times New Roman"/>
          <w:szCs w:val="24"/>
        </w:rPr>
        <w:t>viewer</w:t>
      </w:r>
      <w:r w:rsidRPr="004A499B">
        <w:rPr>
          <w:rFonts w:cs="Times New Roman"/>
          <w:szCs w:val="24"/>
        </w:rPr>
        <w:t>.</w:t>
      </w:r>
    </w:p>
    <w:p w:rsidR="004A499B" w:rsidRDefault="004A499B" w:rsidP="004A499B">
      <w:pPr>
        <w:jc w:val="both"/>
        <w:rPr>
          <w:rFonts w:cs="Times New Roman"/>
          <w:szCs w:val="24"/>
        </w:rPr>
      </w:pPr>
    </w:p>
    <w:p w:rsidR="00AF6A52" w:rsidRPr="00AB2BF4" w:rsidRDefault="004A499B" w:rsidP="00EF791A">
      <w:pPr>
        <w:jc w:val="both"/>
        <w:rPr>
          <w:rFonts w:cs="Times New Roman"/>
          <w:szCs w:val="24"/>
        </w:rPr>
      </w:pPr>
      <w:r>
        <w:rPr>
          <w:rFonts w:cs="Times New Roman"/>
          <w:szCs w:val="24"/>
        </w:rPr>
        <w:t xml:space="preserve">(c) The foregoing </w:t>
      </w:r>
      <w:r w:rsidR="00D45BDB">
        <w:rPr>
          <w:rFonts w:cs="Times New Roman"/>
          <w:szCs w:val="24"/>
        </w:rPr>
        <w:t>options could be applied several</w:t>
      </w:r>
      <w:r>
        <w:rPr>
          <w:rFonts w:cs="Times New Roman"/>
          <w:szCs w:val="24"/>
        </w:rPr>
        <w:t xml:space="preserve">ly or in combination to the existing </w:t>
      </w:r>
      <w:r w:rsidR="00B76069">
        <w:rPr>
          <w:rFonts w:cs="Times New Roman"/>
          <w:szCs w:val="24"/>
        </w:rPr>
        <w:t xml:space="preserve">wording in </w:t>
      </w:r>
      <w:r>
        <w:rPr>
          <w:rFonts w:cs="Times New Roman"/>
          <w:szCs w:val="24"/>
        </w:rPr>
        <w:t xml:space="preserve">clause 3. The third option would be a </w:t>
      </w:r>
      <w:r w:rsidR="00B76069">
        <w:rPr>
          <w:rFonts w:cs="Times New Roman"/>
          <w:szCs w:val="24"/>
        </w:rPr>
        <w:t xml:space="preserve">total </w:t>
      </w:r>
      <w:r>
        <w:rPr>
          <w:rFonts w:cs="Times New Roman"/>
          <w:szCs w:val="24"/>
        </w:rPr>
        <w:t>replacement of the existing clause 3.</w:t>
      </w:r>
      <w:r w:rsidR="00B76069">
        <w:rPr>
          <w:rFonts w:cs="Times New Roman"/>
          <w:szCs w:val="24"/>
        </w:rPr>
        <w:t xml:space="preserve"> </w:t>
      </w:r>
      <w:r>
        <w:rPr>
          <w:rFonts w:cs="Times New Roman"/>
          <w:szCs w:val="24"/>
        </w:rPr>
        <w:t xml:space="preserve">The </w:t>
      </w:r>
      <w:r w:rsidR="00740A03">
        <w:rPr>
          <w:rFonts w:cs="Times New Roman"/>
          <w:szCs w:val="24"/>
        </w:rPr>
        <w:t xml:space="preserve">following </w:t>
      </w:r>
      <w:r w:rsidR="00B76069">
        <w:rPr>
          <w:rFonts w:cs="Times New Roman"/>
          <w:szCs w:val="24"/>
        </w:rPr>
        <w:t>wording</w:t>
      </w:r>
      <w:r>
        <w:rPr>
          <w:rFonts w:cs="Times New Roman"/>
          <w:szCs w:val="24"/>
        </w:rPr>
        <w:t xml:space="preserve"> builds </w:t>
      </w:r>
      <w:r w:rsidR="00B76069">
        <w:rPr>
          <w:rFonts w:cs="Times New Roman"/>
          <w:szCs w:val="24"/>
        </w:rPr>
        <w:t xml:space="preserve">on the </w:t>
      </w:r>
      <w:r w:rsidR="00740A03">
        <w:rPr>
          <w:rFonts w:cs="Times New Roman"/>
          <w:szCs w:val="24"/>
        </w:rPr>
        <w:t>language</w:t>
      </w:r>
      <w:r w:rsidR="00B76069">
        <w:rPr>
          <w:rFonts w:cs="Times New Roman"/>
          <w:szCs w:val="24"/>
        </w:rPr>
        <w:t xml:space="preserve"> in </w:t>
      </w:r>
      <w:r w:rsidR="00AF6A52" w:rsidRPr="00AB2BF4">
        <w:rPr>
          <w:rFonts w:cs="Times New Roman"/>
          <w:szCs w:val="24"/>
        </w:rPr>
        <w:t xml:space="preserve">section 57 </w:t>
      </w:r>
      <w:r w:rsidR="00B76069">
        <w:rPr>
          <w:rFonts w:cs="Times New Roman"/>
          <w:szCs w:val="24"/>
        </w:rPr>
        <w:t xml:space="preserve">of the Terrorism Act 2000 and also </w:t>
      </w:r>
      <w:r w:rsidR="00AF6A52" w:rsidRPr="00AB2BF4">
        <w:rPr>
          <w:rFonts w:cs="Times New Roman"/>
          <w:szCs w:val="24"/>
        </w:rPr>
        <w:t>borrow</w:t>
      </w:r>
      <w:r w:rsidR="00B76069">
        <w:rPr>
          <w:rFonts w:cs="Times New Roman"/>
          <w:szCs w:val="24"/>
        </w:rPr>
        <w:t>s</w:t>
      </w:r>
      <w:r w:rsidR="00AF6A52" w:rsidRPr="00AB2BF4">
        <w:rPr>
          <w:rFonts w:cs="Times New Roman"/>
          <w:szCs w:val="24"/>
        </w:rPr>
        <w:t xml:space="preserve"> from </w:t>
      </w:r>
      <w:r w:rsidR="00B76069">
        <w:rPr>
          <w:rFonts w:cs="Times New Roman"/>
          <w:szCs w:val="24"/>
        </w:rPr>
        <w:t xml:space="preserve">the </w:t>
      </w:r>
      <w:r w:rsidR="00AF6A52" w:rsidRPr="00AB2BF4">
        <w:rPr>
          <w:rFonts w:cs="Times New Roman"/>
          <w:szCs w:val="24"/>
        </w:rPr>
        <w:t>Protection from Harassment Act 1997</w:t>
      </w:r>
      <w:r w:rsidR="00B76069">
        <w:rPr>
          <w:rFonts w:cs="Times New Roman"/>
          <w:szCs w:val="24"/>
        </w:rPr>
        <w:t>, section 7:</w:t>
      </w:r>
    </w:p>
    <w:p w:rsidR="00B76069" w:rsidRDefault="00B76069" w:rsidP="00EF791A">
      <w:pPr>
        <w:jc w:val="both"/>
        <w:rPr>
          <w:rFonts w:cs="Times New Roman"/>
          <w:szCs w:val="24"/>
        </w:rPr>
      </w:pPr>
    </w:p>
    <w:p w:rsidR="00BA33D3" w:rsidRPr="00AB2BF4" w:rsidRDefault="00B76069" w:rsidP="00EF791A">
      <w:pPr>
        <w:jc w:val="both"/>
        <w:rPr>
          <w:rFonts w:cs="Times New Roman"/>
          <w:szCs w:val="24"/>
        </w:rPr>
      </w:pPr>
      <w:r>
        <w:rPr>
          <w:rFonts w:cs="Times New Roman"/>
          <w:szCs w:val="24"/>
        </w:rPr>
        <w:t xml:space="preserve">'(1) </w:t>
      </w:r>
      <w:r w:rsidRPr="00AB2BF4">
        <w:rPr>
          <w:rFonts w:cs="Times New Roman"/>
          <w:szCs w:val="24"/>
        </w:rPr>
        <w:t xml:space="preserve">A person commits an offence if </w:t>
      </w:r>
      <w:r>
        <w:rPr>
          <w:rFonts w:cs="Times New Roman"/>
          <w:szCs w:val="24"/>
        </w:rPr>
        <w:t xml:space="preserve">he … </w:t>
      </w:r>
      <w:r w:rsidR="00BA0859" w:rsidRPr="00AB2BF4">
        <w:rPr>
          <w:rFonts w:cs="Times New Roman"/>
          <w:szCs w:val="24"/>
        </w:rPr>
        <w:t xml:space="preserve">(c) </w:t>
      </w:r>
      <w:r w:rsidR="00AF6A52" w:rsidRPr="00AB2BF4">
        <w:rPr>
          <w:rFonts w:cs="Times New Roman"/>
          <w:szCs w:val="24"/>
        </w:rPr>
        <w:t xml:space="preserve">views information </w:t>
      </w:r>
      <w:r w:rsidR="00740A03">
        <w:rPr>
          <w:rFonts w:cs="Times New Roman"/>
          <w:szCs w:val="24"/>
        </w:rPr>
        <w:t xml:space="preserve">of that kind </w:t>
      </w:r>
      <w:r>
        <w:rPr>
          <w:rFonts w:cs="Times New Roman"/>
          <w:szCs w:val="24"/>
        </w:rPr>
        <w:t>by way of</w:t>
      </w:r>
      <w:r w:rsidR="00AF6A52" w:rsidRPr="00AB2BF4">
        <w:rPr>
          <w:rFonts w:cs="Times New Roman"/>
          <w:szCs w:val="24"/>
        </w:rPr>
        <w:t xml:space="preserve"> a course of conduct on three or more occasions without any record being collected or made but in a way which gives rise to a reasonable suspicion that his viewing is for a purpose connected with the commission, preparation or inst</w:t>
      </w:r>
      <w:r>
        <w:rPr>
          <w:rFonts w:cs="Times New Roman"/>
          <w:szCs w:val="24"/>
        </w:rPr>
        <w:t>igation of an act of terrorism.'</w:t>
      </w:r>
    </w:p>
    <w:p w:rsidR="00BA0859" w:rsidRPr="00AB2BF4" w:rsidRDefault="00BA0859" w:rsidP="00EF791A">
      <w:pPr>
        <w:jc w:val="both"/>
        <w:rPr>
          <w:rFonts w:cs="Times New Roman"/>
          <w:szCs w:val="24"/>
        </w:rPr>
      </w:pPr>
    </w:p>
    <w:p w:rsidR="00BA0859" w:rsidRPr="00AB2BF4" w:rsidRDefault="00A754DA" w:rsidP="00EF791A">
      <w:pPr>
        <w:jc w:val="both"/>
        <w:rPr>
          <w:rFonts w:cs="Times New Roman"/>
          <w:szCs w:val="24"/>
        </w:rPr>
      </w:pPr>
      <w:r>
        <w:rPr>
          <w:rFonts w:cs="Times New Roman"/>
          <w:szCs w:val="24"/>
        </w:rPr>
        <w:t xml:space="preserve">The prosecutor would </w:t>
      </w:r>
      <w:r w:rsidR="00BF7325">
        <w:rPr>
          <w:rFonts w:cs="Times New Roman"/>
          <w:szCs w:val="24"/>
        </w:rPr>
        <w:t xml:space="preserve">thus </w:t>
      </w:r>
      <w:r>
        <w:rPr>
          <w:rFonts w:cs="Times New Roman"/>
          <w:szCs w:val="24"/>
        </w:rPr>
        <w:t xml:space="preserve">need to prove not just the repeated viewing but why and how the data has been internalised with a purpose in mind. Almost certainly, other evidence would be required for </w:t>
      </w:r>
      <w:r w:rsidR="00BF7325">
        <w:rPr>
          <w:rFonts w:cs="Times New Roman"/>
          <w:szCs w:val="24"/>
        </w:rPr>
        <w:t>such</w:t>
      </w:r>
      <w:r>
        <w:rPr>
          <w:rFonts w:cs="Times New Roman"/>
          <w:szCs w:val="24"/>
        </w:rPr>
        <w:t xml:space="preserve"> proof - scribblings in notebooks, emails to others, and so on. </w:t>
      </w:r>
      <w:r w:rsidR="00BF7325">
        <w:rPr>
          <w:rFonts w:cs="Times New Roman"/>
          <w:szCs w:val="24"/>
        </w:rPr>
        <w:t>It might be said that the Terrorism Act 2006, section 5 overlaps, but it has already been noted that t</w:t>
      </w:r>
      <w:r w:rsidR="00C615E7">
        <w:rPr>
          <w:rFonts w:cs="Times New Roman"/>
          <w:szCs w:val="24"/>
        </w:rPr>
        <w:t>he government is aware of</w:t>
      </w:r>
      <w:r w:rsidR="00BF7325">
        <w:rPr>
          <w:rFonts w:cs="Times New Roman"/>
          <w:szCs w:val="24"/>
        </w:rPr>
        <w:t xml:space="preserve"> the current overlap of section 5 with </w:t>
      </w:r>
      <w:r w:rsidR="00C615E7">
        <w:rPr>
          <w:rFonts w:cs="Times New Roman"/>
          <w:szCs w:val="24"/>
        </w:rPr>
        <w:t xml:space="preserve">both </w:t>
      </w:r>
      <w:r w:rsidR="00BF7325">
        <w:rPr>
          <w:rFonts w:cs="Times New Roman"/>
          <w:szCs w:val="24"/>
        </w:rPr>
        <w:t>sections 57 and 58.</w:t>
      </w:r>
    </w:p>
    <w:p w:rsidR="00AB2BF4" w:rsidRPr="00AB2BF4" w:rsidRDefault="00AB2BF4" w:rsidP="00BA0859">
      <w:pPr>
        <w:rPr>
          <w:rFonts w:cs="Times New Roman"/>
          <w:szCs w:val="24"/>
        </w:rPr>
      </w:pPr>
    </w:p>
    <w:p w:rsidR="00AB2BF4" w:rsidRPr="00AB2BF4" w:rsidRDefault="00AB2BF4" w:rsidP="00AB2BF4">
      <w:pPr>
        <w:pStyle w:val="PlainText"/>
        <w:ind w:left="360"/>
        <w:rPr>
          <w:rFonts w:ascii="Times New Roman" w:hAnsi="Times New Roman" w:cs="Times New Roman"/>
          <w:b/>
          <w:i/>
          <w:szCs w:val="24"/>
        </w:rPr>
      </w:pPr>
    </w:p>
    <w:p w:rsidR="00AB2BF4" w:rsidRDefault="00AB2BF4" w:rsidP="00AB2BF4">
      <w:pPr>
        <w:pStyle w:val="PlainText"/>
        <w:ind w:left="360"/>
        <w:rPr>
          <w:rFonts w:ascii="Times New Roman" w:hAnsi="Times New Roman" w:cs="Times New Roman"/>
          <w:b/>
          <w:i/>
          <w:sz w:val="32"/>
          <w:szCs w:val="32"/>
        </w:rPr>
      </w:pPr>
      <w:r w:rsidRPr="00AB2BF4">
        <w:rPr>
          <w:rFonts w:ascii="Times New Roman" w:hAnsi="Times New Roman" w:cs="Times New Roman"/>
          <w:b/>
          <w:i/>
          <w:sz w:val="32"/>
          <w:szCs w:val="32"/>
        </w:rPr>
        <w:t>Contact details</w:t>
      </w:r>
    </w:p>
    <w:p w:rsidR="00E72563" w:rsidRDefault="00E72563" w:rsidP="00AB2BF4">
      <w:pPr>
        <w:pStyle w:val="PlainText"/>
        <w:ind w:left="360"/>
        <w:rPr>
          <w:rFonts w:ascii="Times New Roman" w:hAnsi="Times New Roman" w:cs="Times New Roman"/>
          <w:b/>
          <w:i/>
          <w:sz w:val="32"/>
          <w:szCs w:val="32"/>
        </w:rPr>
      </w:pPr>
    </w:p>
    <w:p w:rsidR="00E72563" w:rsidRDefault="00E72563" w:rsidP="00AB2BF4">
      <w:pPr>
        <w:pStyle w:val="PlainText"/>
        <w:ind w:left="360"/>
        <w:rPr>
          <w:rFonts w:ascii="Times New Roman" w:hAnsi="Times New Roman" w:cs="Times New Roman"/>
          <w:b/>
          <w:sz w:val="32"/>
          <w:szCs w:val="32"/>
        </w:rPr>
      </w:pPr>
      <w:r>
        <w:rPr>
          <w:rFonts w:ascii="Times New Roman" w:hAnsi="Times New Roman" w:cs="Times New Roman"/>
          <w:b/>
          <w:sz w:val="32"/>
          <w:szCs w:val="32"/>
        </w:rPr>
        <w:t>Max Hill QC</w:t>
      </w:r>
    </w:p>
    <w:p w:rsidR="00E72563" w:rsidRDefault="00E72563" w:rsidP="00AB2BF4">
      <w:pPr>
        <w:pStyle w:val="PlainText"/>
        <w:ind w:left="360"/>
        <w:rPr>
          <w:rFonts w:ascii="Times New Roman" w:hAnsi="Times New Roman" w:cs="Times New Roman"/>
          <w:b/>
          <w:sz w:val="32"/>
          <w:szCs w:val="32"/>
        </w:rPr>
      </w:pPr>
      <w:r>
        <w:rPr>
          <w:rFonts w:ascii="Times New Roman" w:hAnsi="Times New Roman" w:cs="Times New Roman"/>
          <w:b/>
          <w:sz w:val="32"/>
          <w:szCs w:val="32"/>
        </w:rPr>
        <w:t>Independent reviewer of Terrorism Legislation</w:t>
      </w:r>
    </w:p>
    <w:p w:rsidR="00E72563" w:rsidRDefault="00E72563" w:rsidP="00AB2BF4">
      <w:pPr>
        <w:pStyle w:val="PlainText"/>
        <w:ind w:left="360"/>
        <w:rPr>
          <w:rFonts w:ascii="Times New Roman" w:hAnsi="Times New Roman" w:cs="Times New Roman"/>
          <w:b/>
          <w:sz w:val="32"/>
          <w:szCs w:val="32"/>
        </w:rPr>
      </w:pPr>
      <w:r>
        <w:rPr>
          <w:rFonts w:ascii="Times New Roman" w:hAnsi="Times New Roman" w:cs="Times New Roman"/>
          <w:b/>
          <w:sz w:val="32"/>
          <w:szCs w:val="32"/>
        </w:rPr>
        <w:t>Red Lion Chambers</w:t>
      </w:r>
    </w:p>
    <w:p w:rsidR="00E72563" w:rsidRDefault="00E72563" w:rsidP="00AB2BF4">
      <w:pPr>
        <w:pStyle w:val="PlainText"/>
        <w:ind w:left="360"/>
        <w:rPr>
          <w:rFonts w:ascii="Times New Roman" w:hAnsi="Times New Roman" w:cs="Times New Roman"/>
          <w:b/>
          <w:sz w:val="32"/>
          <w:szCs w:val="32"/>
        </w:rPr>
      </w:pPr>
      <w:r>
        <w:rPr>
          <w:rFonts w:ascii="Times New Roman" w:hAnsi="Times New Roman" w:cs="Times New Roman"/>
          <w:b/>
          <w:sz w:val="32"/>
          <w:szCs w:val="32"/>
        </w:rPr>
        <w:t>18 Red Lion Court</w:t>
      </w:r>
    </w:p>
    <w:p w:rsidR="00E72563" w:rsidRDefault="00E72563" w:rsidP="00AB2BF4">
      <w:pPr>
        <w:pStyle w:val="PlainText"/>
        <w:ind w:left="360"/>
        <w:rPr>
          <w:rFonts w:ascii="Times New Roman" w:hAnsi="Times New Roman" w:cs="Times New Roman"/>
          <w:b/>
          <w:sz w:val="32"/>
          <w:szCs w:val="32"/>
        </w:rPr>
      </w:pPr>
      <w:r>
        <w:rPr>
          <w:rFonts w:ascii="Times New Roman" w:hAnsi="Times New Roman" w:cs="Times New Roman"/>
          <w:b/>
          <w:sz w:val="32"/>
          <w:szCs w:val="32"/>
        </w:rPr>
        <w:t>London EC4A 3EB</w:t>
      </w:r>
    </w:p>
    <w:p w:rsidR="00E72563" w:rsidRDefault="00E86ACE" w:rsidP="00AB2BF4">
      <w:pPr>
        <w:pStyle w:val="PlainText"/>
        <w:ind w:left="360"/>
        <w:rPr>
          <w:rFonts w:ascii="Times New Roman" w:hAnsi="Times New Roman" w:cs="Times New Roman"/>
          <w:b/>
          <w:sz w:val="32"/>
          <w:szCs w:val="32"/>
        </w:rPr>
      </w:pPr>
      <w:hyperlink r:id="rId8" w:history="1">
        <w:r w:rsidR="00E72563" w:rsidRPr="00493030">
          <w:rPr>
            <w:rStyle w:val="Hyperlink"/>
            <w:rFonts w:ascii="Times New Roman" w:hAnsi="Times New Roman" w:cs="Times New Roman"/>
            <w:b/>
            <w:sz w:val="32"/>
            <w:szCs w:val="32"/>
          </w:rPr>
          <w:t>Max.hill@18rlc.co.uk</w:t>
        </w:r>
      </w:hyperlink>
    </w:p>
    <w:p w:rsidR="00E72563" w:rsidRDefault="00E72563" w:rsidP="00AB2BF4">
      <w:pPr>
        <w:pStyle w:val="PlainText"/>
        <w:ind w:left="360"/>
        <w:rPr>
          <w:rFonts w:ascii="Times New Roman" w:hAnsi="Times New Roman" w:cs="Times New Roman"/>
          <w:b/>
          <w:sz w:val="32"/>
          <w:szCs w:val="32"/>
        </w:rPr>
      </w:pPr>
    </w:p>
    <w:p w:rsidR="00E72563" w:rsidRPr="00E72563" w:rsidRDefault="00E72563" w:rsidP="00AB2BF4">
      <w:pPr>
        <w:pStyle w:val="PlainText"/>
        <w:ind w:left="360"/>
        <w:rPr>
          <w:rFonts w:ascii="Times New Roman" w:hAnsi="Times New Roman" w:cs="Times New Roman"/>
          <w:b/>
          <w:sz w:val="32"/>
          <w:szCs w:val="32"/>
        </w:rPr>
      </w:pPr>
    </w:p>
    <w:p w:rsidR="00AB2BF4" w:rsidRPr="00AB2BF4" w:rsidRDefault="00AB2BF4" w:rsidP="00AB2BF4">
      <w:pPr>
        <w:pStyle w:val="PlainText"/>
        <w:ind w:left="360"/>
        <w:rPr>
          <w:rFonts w:ascii="Times New Roman" w:hAnsi="Times New Roman" w:cs="Times New Roman"/>
          <w:b/>
          <w:sz w:val="32"/>
          <w:szCs w:val="32"/>
        </w:rPr>
      </w:pPr>
      <w:r w:rsidRPr="00AB2BF4">
        <w:rPr>
          <w:rFonts w:ascii="Times New Roman" w:hAnsi="Times New Roman" w:cs="Times New Roman"/>
          <w:b/>
          <w:sz w:val="32"/>
          <w:szCs w:val="32"/>
        </w:rPr>
        <w:t>Professor Emeritus Clive Walker</w:t>
      </w:r>
    </w:p>
    <w:p w:rsidR="00AB2BF4" w:rsidRPr="00AB2BF4" w:rsidRDefault="00AB2BF4" w:rsidP="00AB2BF4">
      <w:pPr>
        <w:ind w:left="360"/>
        <w:rPr>
          <w:rFonts w:cs="Times New Roman"/>
          <w:b/>
          <w:sz w:val="32"/>
          <w:szCs w:val="32"/>
        </w:rPr>
      </w:pPr>
      <w:r w:rsidRPr="00AB2BF4">
        <w:rPr>
          <w:rFonts w:cs="Times New Roman"/>
          <w:b/>
          <w:sz w:val="32"/>
          <w:szCs w:val="32"/>
        </w:rPr>
        <w:t>Director</w:t>
      </w:r>
    </w:p>
    <w:p w:rsidR="00AB2BF4" w:rsidRPr="00AB2BF4" w:rsidRDefault="00AB2BF4" w:rsidP="00AB2BF4">
      <w:pPr>
        <w:ind w:left="360"/>
        <w:rPr>
          <w:rFonts w:cs="Times New Roman"/>
          <w:b/>
          <w:sz w:val="32"/>
          <w:szCs w:val="32"/>
        </w:rPr>
      </w:pPr>
      <w:proofErr w:type="spellStart"/>
      <w:r w:rsidRPr="00AB2BF4">
        <w:rPr>
          <w:rFonts w:cs="Times New Roman"/>
          <w:b/>
          <w:sz w:val="32"/>
          <w:szCs w:val="32"/>
        </w:rPr>
        <w:t>Nuin</w:t>
      </w:r>
      <w:proofErr w:type="spellEnd"/>
      <w:r w:rsidRPr="00AB2BF4">
        <w:rPr>
          <w:rFonts w:cs="Times New Roman"/>
          <w:b/>
          <w:sz w:val="32"/>
          <w:szCs w:val="32"/>
        </w:rPr>
        <w:t xml:space="preserve"> Associates Ltd</w:t>
      </w:r>
    </w:p>
    <w:p w:rsidR="00AB2BF4" w:rsidRPr="00AB2BF4" w:rsidRDefault="00AB2BF4" w:rsidP="00AB2BF4">
      <w:pPr>
        <w:ind w:left="360"/>
        <w:rPr>
          <w:rFonts w:cs="Times New Roman"/>
          <w:b/>
          <w:sz w:val="32"/>
          <w:szCs w:val="32"/>
        </w:rPr>
      </w:pPr>
      <w:r w:rsidRPr="00AB2BF4">
        <w:rPr>
          <w:rFonts w:cs="Times New Roman"/>
          <w:b/>
          <w:sz w:val="32"/>
          <w:szCs w:val="32"/>
        </w:rPr>
        <w:t>40 High Ash Mount</w:t>
      </w:r>
    </w:p>
    <w:p w:rsidR="00AB2BF4" w:rsidRPr="00AB2BF4" w:rsidRDefault="00AB2BF4" w:rsidP="00AB2BF4">
      <w:pPr>
        <w:ind w:left="360"/>
        <w:rPr>
          <w:rFonts w:cs="Times New Roman"/>
          <w:b/>
          <w:sz w:val="32"/>
          <w:szCs w:val="32"/>
        </w:rPr>
      </w:pPr>
      <w:r w:rsidRPr="00AB2BF4">
        <w:rPr>
          <w:rFonts w:cs="Times New Roman"/>
          <w:b/>
          <w:sz w:val="32"/>
          <w:szCs w:val="32"/>
        </w:rPr>
        <w:t>Leeds LS17 8RW</w:t>
      </w:r>
    </w:p>
    <w:p w:rsidR="00AB2BF4" w:rsidRPr="00AB2BF4" w:rsidRDefault="00E86ACE" w:rsidP="00AB2BF4">
      <w:pPr>
        <w:ind w:left="360"/>
        <w:rPr>
          <w:rFonts w:cs="Times New Roman"/>
          <w:b/>
          <w:sz w:val="32"/>
          <w:szCs w:val="32"/>
        </w:rPr>
      </w:pPr>
      <w:r w:rsidRPr="00AB2BF4">
        <w:rPr>
          <w:rFonts w:cs="Times New Roman"/>
          <w:b/>
          <w:sz w:val="32"/>
          <w:szCs w:val="32"/>
        </w:rPr>
        <w:fldChar w:fldCharType="begin"/>
      </w:r>
      <w:r w:rsidR="00AB2BF4" w:rsidRPr="00AB2BF4">
        <w:rPr>
          <w:rFonts w:cs="Times New Roman"/>
          <w:b/>
          <w:sz w:val="32"/>
          <w:szCs w:val="32"/>
        </w:rPr>
        <w:instrText>SYMBOL 40 \f "Wingdings"</w:instrText>
      </w:r>
      <w:r w:rsidRPr="00AB2BF4">
        <w:rPr>
          <w:rFonts w:cs="Times New Roman"/>
          <w:b/>
          <w:sz w:val="32"/>
          <w:szCs w:val="32"/>
        </w:rPr>
        <w:fldChar w:fldCharType="end"/>
      </w:r>
      <w:r w:rsidR="00AB2BF4" w:rsidRPr="00AB2BF4">
        <w:rPr>
          <w:rFonts w:cs="Times New Roman"/>
          <w:b/>
          <w:sz w:val="32"/>
          <w:szCs w:val="32"/>
        </w:rPr>
        <w:t>077 90969270</w:t>
      </w:r>
    </w:p>
    <w:p w:rsidR="00AB2BF4" w:rsidRPr="00AB2BF4" w:rsidRDefault="00E86ACE" w:rsidP="00AB2BF4">
      <w:pPr>
        <w:ind w:left="360"/>
        <w:rPr>
          <w:rFonts w:cs="Times New Roman"/>
          <w:sz w:val="32"/>
          <w:szCs w:val="32"/>
        </w:rPr>
      </w:pPr>
      <w:r w:rsidRPr="00AB2BF4">
        <w:rPr>
          <w:rFonts w:cs="Times New Roman"/>
          <w:b/>
          <w:sz w:val="32"/>
          <w:szCs w:val="32"/>
        </w:rPr>
        <w:lastRenderedPageBreak/>
        <w:fldChar w:fldCharType="begin"/>
      </w:r>
      <w:r w:rsidR="00AB2BF4" w:rsidRPr="00AB2BF4">
        <w:rPr>
          <w:rFonts w:cs="Times New Roman"/>
          <w:b/>
          <w:sz w:val="32"/>
          <w:szCs w:val="32"/>
        </w:rPr>
        <w:instrText>SYMBOL 60 \f "Wingdings"</w:instrText>
      </w:r>
      <w:r w:rsidRPr="00AB2BF4">
        <w:rPr>
          <w:rFonts w:cs="Times New Roman"/>
          <w:b/>
          <w:sz w:val="32"/>
          <w:szCs w:val="32"/>
        </w:rPr>
        <w:fldChar w:fldCharType="end"/>
      </w:r>
      <w:r w:rsidR="00AB2BF4" w:rsidRPr="00AB2BF4">
        <w:rPr>
          <w:rFonts w:cs="Times New Roman"/>
          <w:b/>
          <w:sz w:val="32"/>
          <w:szCs w:val="32"/>
        </w:rPr>
        <w:t>cliveccjs@hotmail.com</w:t>
      </w:r>
      <w:r w:rsidR="00AB2BF4" w:rsidRPr="00AB2BF4">
        <w:rPr>
          <w:rFonts w:cs="Times New Roman"/>
          <w:sz w:val="32"/>
          <w:szCs w:val="32"/>
        </w:rPr>
        <w:t xml:space="preserve"> </w:t>
      </w:r>
    </w:p>
    <w:p w:rsidR="00AB2BF4" w:rsidRPr="00AB2BF4" w:rsidRDefault="00AB2BF4" w:rsidP="00AB2BF4">
      <w:pPr>
        <w:ind w:left="360"/>
        <w:rPr>
          <w:rFonts w:cs="Times New Roman"/>
          <w:sz w:val="32"/>
          <w:szCs w:val="32"/>
        </w:rPr>
      </w:pPr>
    </w:p>
    <w:p w:rsidR="00AB2BF4" w:rsidRPr="00AB2BF4" w:rsidRDefault="00C615E7" w:rsidP="00AB2BF4">
      <w:pPr>
        <w:ind w:left="360"/>
        <w:rPr>
          <w:rFonts w:cs="Times New Roman"/>
          <w:b/>
          <w:sz w:val="32"/>
          <w:szCs w:val="32"/>
        </w:rPr>
      </w:pPr>
      <w:r>
        <w:rPr>
          <w:rFonts w:cs="Times New Roman"/>
          <w:b/>
          <w:sz w:val="32"/>
          <w:szCs w:val="32"/>
        </w:rPr>
        <w:t xml:space="preserve">8 </w:t>
      </w:r>
      <w:bookmarkStart w:id="0" w:name="_GoBack"/>
      <w:bookmarkEnd w:id="0"/>
      <w:r w:rsidR="00E72563">
        <w:rPr>
          <w:rFonts w:cs="Times New Roman"/>
          <w:b/>
          <w:sz w:val="32"/>
          <w:szCs w:val="32"/>
        </w:rPr>
        <w:t>July</w:t>
      </w:r>
      <w:r w:rsidR="00AB2BF4" w:rsidRPr="00AB2BF4">
        <w:rPr>
          <w:rFonts w:cs="Times New Roman"/>
          <w:b/>
          <w:sz w:val="32"/>
          <w:szCs w:val="32"/>
        </w:rPr>
        <w:t xml:space="preserve"> 2018</w:t>
      </w:r>
    </w:p>
    <w:p w:rsidR="00AB2BF4" w:rsidRDefault="00AB2BF4" w:rsidP="00BA0859">
      <w:pPr>
        <w:rPr>
          <w:rFonts w:cs="Times New Roman"/>
          <w:szCs w:val="24"/>
        </w:rPr>
      </w:pPr>
    </w:p>
    <w:p w:rsidR="00AB2BF4" w:rsidRPr="00AB2BF4" w:rsidRDefault="00AB2BF4" w:rsidP="00BA0859">
      <w:pPr>
        <w:rPr>
          <w:rFonts w:cs="Times New Roman"/>
          <w:szCs w:val="24"/>
        </w:rPr>
      </w:pPr>
    </w:p>
    <w:sectPr w:rsidR="00AB2BF4" w:rsidRPr="00AB2BF4" w:rsidSect="00C430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D0" w:rsidRDefault="00A65DD0" w:rsidP="00BA33D3">
      <w:r>
        <w:separator/>
      </w:r>
    </w:p>
  </w:endnote>
  <w:endnote w:type="continuationSeparator" w:id="0">
    <w:p w:rsidR="00A65DD0" w:rsidRDefault="00A65DD0" w:rsidP="00BA3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1" w:rsidRDefault="00E86ACE" w:rsidP="00997011">
    <w:pPr>
      <w:pStyle w:val="Footer"/>
      <w:framePr w:wrap="around" w:vAnchor="text" w:hAnchor="margin" w:xAlign="right" w:y="1"/>
      <w:rPr>
        <w:rStyle w:val="PageNumber"/>
      </w:rPr>
    </w:pPr>
    <w:r>
      <w:rPr>
        <w:rStyle w:val="PageNumber"/>
      </w:rPr>
      <w:fldChar w:fldCharType="begin"/>
    </w:r>
    <w:r w:rsidR="00997011">
      <w:rPr>
        <w:rStyle w:val="PageNumber"/>
      </w:rPr>
      <w:instrText xml:space="preserve">PAGE  </w:instrText>
    </w:r>
    <w:r>
      <w:rPr>
        <w:rStyle w:val="PageNumber"/>
      </w:rPr>
      <w:fldChar w:fldCharType="end"/>
    </w:r>
  </w:p>
  <w:p w:rsidR="00997011" w:rsidRDefault="00997011" w:rsidP="00BA33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1" w:rsidRDefault="00E86ACE" w:rsidP="00997011">
    <w:pPr>
      <w:pStyle w:val="Footer"/>
      <w:framePr w:wrap="around" w:vAnchor="text" w:hAnchor="margin" w:xAlign="right" w:y="1"/>
      <w:rPr>
        <w:rStyle w:val="PageNumber"/>
      </w:rPr>
    </w:pPr>
    <w:r>
      <w:rPr>
        <w:rStyle w:val="PageNumber"/>
      </w:rPr>
      <w:fldChar w:fldCharType="begin"/>
    </w:r>
    <w:r w:rsidR="00997011">
      <w:rPr>
        <w:rStyle w:val="PageNumber"/>
      </w:rPr>
      <w:instrText xml:space="preserve">PAGE  </w:instrText>
    </w:r>
    <w:r>
      <w:rPr>
        <w:rStyle w:val="PageNumber"/>
      </w:rPr>
      <w:fldChar w:fldCharType="separate"/>
    </w:r>
    <w:r w:rsidR="003C0C11">
      <w:rPr>
        <w:rStyle w:val="PageNumber"/>
        <w:noProof/>
      </w:rPr>
      <w:t>5</w:t>
    </w:r>
    <w:r>
      <w:rPr>
        <w:rStyle w:val="PageNumber"/>
      </w:rPr>
      <w:fldChar w:fldCharType="end"/>
    </w:r>
  </w:p>
  <w:p w:rsidR="00997011" w:rsidRDefault="00546A84" w:rsidP="00BA33D3">
    <w:pPr>
      <w:pStyle w:val="Footer"/>
      <w:ind w:right="360"/>
    </w:pPr>
    <w:r>
      <w:t>Submit-cl3.docx</w:t>
    </w:r>
    <w:r w:rsidR="00D57882">
      <w:t xml:space="preserve">, </w:t>
    </w:r>
    <w:r w:rsidR="00D57882">
      <w:rPr>
        <w:rFonts w:cs="Times New Roman"/>
      </w:rPr>
      <w:t>©</w:t>
    </w:r>
    <w:r w:rsidR="00D57882">
      <w:t>Clive Walker,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2" w:rsidRDefault="00D57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D0" w:rsidRDefault="00A65DD0" w:rsidP="00BA33D3">
      <w:r>
        <w:separator/>
      </w:r>
    </w:p>
  </w:footnote>
  <w:footnote w:type="continuationSeparator" w:id="0">
    <w:p w:rsidR="00A65DD0" w:rsidRDefault="00A65DD0" w:rsidP="00BA33D3">
      <w:r>
        <w:continuationSeparator/>
      </w:r>
    </w:p>
  </w:footnote>
  <w:footnote w:id="1">
    <w:p w:rsidR="00997011" w:rsidRDefault="00997011" w:rsidP="00EF791A">
      <w:pPr>
        <w:pStyle w:val="FootnoteText"/>
        <w:jc w:val="both"/>
      </w:pPr>
      <w:r>
        <w:rPr>
          <w:rStyle w:val="FootnoteReference"/>
        </w:rPr>
        <w:footnoteRef/>
      </w:r>
      <w:r>
        <w:t xml:space="preserve"> This paper should be read in conjunction with </w:t>
      </w:r>
      <w:r w:rsidR="00217EEB">
        <w:t>the analysis already given in Professor Walker’s written</w:t>
      </w:r>
      <w:r>
        <w:t xml:space="preserve"> submission to the Joint Committee on Human Rights, </w:t>
      </w:r>
    </w:p>
  </w:footnote>
  <w:footnote w:id="2">
    <w:p w:rsidR="00997011" w:rsidRDefault="00997011" w:rsidP="00EF791A">
      <w:pPr>
        <w:pStyle w:val="FootnoteText"/>
        <w:jc w:val="both"/>
      </w:pPr>
      <w:r>
        <w:rPr>
          <w:rStyle w:val="FootnoteReference"/>
        </w:rPr>
        <w:footnoteRef/>
      </w:r>
      <w:r>
        <w:t xml:space="preserve"> </w:t>
      </w:r>
      <w:r w:rsidRPr="00280C64">
        <w:rPr>
          <w:i/>
        </w:rPr>
        <w:t>Impact Assessment</w:t>
      </w:r>
      <w:r>
        <w:t xml:space="preserve"> (IA HO0308, London, 2018) para.43.</w:t>
      </w:r>
    </w:p>
  </w:footnote>
  <w:footnote w:id="3">
    <w:p w:rsidR="00997011" w:rsidRPr="00997011" w:rsidRDefault="00997011" w:rsidP="00EF791A">
      <w:pPr>
        <w:pStyle w:val="FootnoteText"/>
        <w:jc w:val="both"/>
      </w:pPr>
      <w:r>
        <w:rPr>
          <w:rStyle w:val="FootnoteReference"/>
        </w:rPr>
        <w:footnoteRef/>
      </w:r>
      <w:r>
        <w:t xml:space="preserve"> </w:t>
      </w:r>
      <w:r w:rsidRPr="00BA0859">
        <w:rPr>
          <w:i/>
        </w:rPr>
        <w:t>Exp</w:t>
      </w:r>
      <w:r>
        <w:rPr>
          <w:i/>
        </w:rPr>
        <w:t>l</w:t>
      </w:r>
      <w:r w:rsidRPr="00BA0859">
        <w:rPr>
          <w:i/>
        </w:rPr>
        <w:t>anatory Memorandum</w:t>
      </w:r>
      <w:r>
        <w:t>, para.1.</w:t>
      </w:r>
    </w:p>
  </w:footnote>
  <w:footnote w:id="4">
    <w:p w:rsidR="00997011" w:rsidRDefault="00997011">
      <w:pPr>
        <w:pStyle w:val="FootnoteText"/>
      </w:pPr>
      <w:r w:rsidRPr="00997011">
        <w:rPr>
          <w:rStyle w:val="FootnoteReference"/>
        </w:rPr>
        <w:footnoteRef/>
      </w:r>
      <w:r w:rsidRPr="00997011">
        <w:t xml:space="preserve"> See Walker, C., 'The Impact of Contemporary Security Agendas against Terrorism on the Substantive Criminal Law' in </w:t>
      </w:r>
      <w:proofErr w:type="spellStart"/>
      <w:r w:rsidRPr="00997011">
        <w:t>Masferrer</w:t>
      </w:r>
      <w:proofErr w:type="spellEnd"/>
      <w:r w:rsidRPr="00997011">
        <w:t xml:space="preserve">, A. (ed.), </w:t>
      </w:r>
      <w:r w:rsidRPr="00997011">
        <w:rPr>
          <w:i/>
          <w:iCs/>
        </w:rPr>
        <w:t>Post 9/11 and the State of Permanent Legal Emergency</w:t>
      </w:r>
      <w:r w:rsidRPr="00997011">
        <w:t xml:space="preserve"> (Springer</w:t>
      </w:r>
      <w:r>
        <w:t>, Dordrecht,</w:t>
      </w:r>
      <w:r w:rsidRPr="00997011">
        <w:t xml:space="preserve"> 2012).</w:t>
      </w:r>
    </w:p>
  </w:footnote>
  <w:footnote w:id="5">
    <w:p w:rsidR="00997011" w:rsidRDefault="00997011" w:rsidP="00EF791A">
      <w:pPr>
        <w:pStyle w:val="FootnoteText"/>
        <w:jc w:val="both"/>
      </w:pPr>
      <w:r>
        <w:rPr>
          <w:rStyle w:val="FootnoteReference"/>
        </w:rPr>
        <w:footnoteRef/>
      </w:r>
      <w:r>
        <w:t xml:space="preserve"> (London, 2017) p.58.</w:t>
      </w:r>
    </w:p>
  </w:footnote>
  <w:footnote w:id="6">
    <w:p w:rsidR="00997011" w:rsidRDefault="00997011" w:rsidP="00EF791A">
      <w:pPr>
        <w:pStyle w:val="FootnoteText"/>
        <w:jc w:val="both"/>
      </w:pPr>
      <w:r>
        <w:rPr>
          <w:rStyle w:val="FootnoteReference"/>
        </w:rPr>
        <w:footnoteRef/>
      </w:r>
      <w:r>
        <w:t xml:space="preserve"> ETS 196, 217.</w:t>
      </w:r>
    </w:p>
  </w:footnote>
  <w:footnote w:id="7">
    <w:p w:rsidR="00997011" w:rsidRDefault="00997011" w:rsidP="00EF791A">
      <w:pPr>
        <w:pStyle w:val="FootnoteText"/>
        <w:jc w:val="both"/>
      </w:pPr>
      <w:r>
        <w:rPr>
          <w:rStyle w:val="FootnoteReference"/>
        </w:rPr>
        <w:footnoteRef/>
      </w:r>
      <w:r>
        <w:t xml:space="preserve"> Hansard (House of Commons) Public Bill Committee on the </w:t>
      </w:r>
      <w:r w:rsidRPr="006908D4">
        <w:t>Counter-Terrorism and Border Security Bill, Second Sitting, Tuesday 26 June 2018</w:t>
      </w:r>
      <w:r>
        <w:t>, col.40.</w:t>
      </w:r>
    </w:p>
  </w:footnote>
  <w:footnote w:id="8">
    <w:p w:rsidR="00997011" w:rsidRPr="002F5363" w:rsidRDefault="00997011" w:rsidP="00997011">
      <w:pPr>
        <w:pStyle w:val="FootnoteText"/>
        <w:jc w:val="both"/>
      </w:pPr>
      <w:r w:rsidRPr="002F5363">
        <w:rPr>
          <w:rStyle w:val="FootnoteReference"/>
        </w:rPr>
        <w:footnoteRef/>
      </w:r>
      <w:r w:rsidRPr="002F5363">
        <w:t xml:space="preserve"> Home Office, </w:t>
      </w:r>
      <w:r w:rsidRPr="002F5363">
        <w:rPr>
          <w:i/>
        </w:rPr>
        <w:t>Prevent Strategy</w:t>
      </w:r>
      <w:r w:rsidRPr="002F5363">
        <w:t xml:space="preserve"> (Cm 8092, London, 2011) para.6.4.</w:t>
      </w:r>
    </w:p>
  </w:footnote>
  <w:footnote w:id="9">
    <w:p w:rsidR="00997011" w:rsidRPr="002F5363" w:rsidRDefault="00997011" w:rsidP="00997011">
      <w:pPr>
        <w:pStyle w:val="FootnoteText"/>
        <w:jc w:val="both"/>
      </w:pPr>
      <w:r w:rsidRPr="002F5363">
        <w:rPr>
          <w:rStyle w:val="FootnoteReference"/>
        </w:rPr>
        <w:footnoteRef/>
      </w:r>
      <w:r w:rsidRPr="002F5363">
        <w:t xml:space="preserve"> </w:t>
      </w:r>
      <w:proofErr w:type="spellStart"/>
      <w:r w:rsidRPr="002F5363">
        <w:t>Bouhana</w:t>
      </w:r>
      <w:proofErr w:type="spellEnd"/>
      <w:r w:rsidRPr="002F5363">
        <w:t xml:space="preserve">, N., and </w:t>
      </w:r>
      <w:proofErr w:type="spellStart"/>
      <w:r w:rsidRPr="002F5363">
        <w:t>Wilkström</w:t>
      </w:r>
      <w:proofErr w:type="spellEnd"/>
      <w:r w:rsidRPr="002F5363">
        <w:t xml:space="preserve">, P-O., </w:t>
      </w:r>
      <w:r w:rsidRPr="002F5363">
        <w:rPr>
          <w:i/>
        </w:rPr>
        <w:t xml:space="preserve">Al </w:t>
      </w:r>
      <w:proofErr w:type="spellStart"/>
      <w:r w:rsidRPr="002F5363">
        <w:rPr>
          <w:i/>
        </w:rPr>
        <w:t>Qa’ida</w:t>
      </w:r>
      <w:proofErr w:type="spellEnd"/>
      <w:r w:rsidRPr="002F5363">
        <w:rPr>
          <w:i/>
        </w:rPr>
        <w:t xml:space="preserve"> Influenced Radicalisation</w:t>
      </w:r>
      <w:r w:rsidRPr="002F5363">
        <w:t xml:space="preserve"> (Occasional Paper 97, Home Office, London, 2011); </w:t>
      </w:r>
      <w:proofErr w:type="spellStart"/>
      <w:r w:rsidRPr="002F5363">
        <w:t>Munton</w:t>
      </w:r>
      <w:proofErr w:type="spellEnd"/>
      <w:r w:rsidRPr="002F5363">
        <w:t xml:space="preserve">, T., </w:t>
      </w:r>
      <w:r w:rsidRPr="002F5363">
        <w:rPr>
          <w:i/>
        </w:rPr>
        <w:t>et al</w:t>
      </w:r>
      <w:r w:rsidRPr="002F5363">
        <w:t xml:space="preserve">, </w:t>
      </w:r>
      <w:r w:rsidRPr="002F5363">
        <w:rPr>
          <w:i/>
        </w:rPr>
        <w:t xml:space="preserve">Understanding vulnerability and resilience in individuals to the influence of Al </w:t>
      </w:r>
      <w:proofErr w:type="spellStart"/>
      <w:r w:rsidRPr="002F5363">
        <w:rPr>
          <w:i/>
        </w:rPr>
        <w:t>Qa’ida</w:t>
      </w:r>
      <w:proofErr w:type="spellEnd"/>
      <w:r w:rsidRPr="002F5363">
        <w:rPr>
          <w:i/>
        </w:rPr>
        <w:t xml:space="preserve"> violent extremism</w:t>
      </w:r>
      <w:r w:rsidRPr="002F5363">
        <w:t xml:space="preserve"> (Occasional Paper 98, Home Office, London, 2011).</w:t>
      </w:r>
    </w:p>
  </w:footnote>
  <w:footnote w:id="10">
    <w:p w:rsidR="00997011" w:rsidRPr="002F5363" w:rsidRDefault="00997011" w:rsidP="00997011">
      <w:pPr>
        <w:pStyle w:val="FootnoteText"/>
        <w:jc w:val="both"/>
      </w:pPr>
      <w:r w:rsidRPr="002F5363">
        <w:rPr>
          <w:rStyle w:val="FootnoteReference"/>
        </w:rPr>
        <w:footnoteRef/>
      </w:r>
      <w:r w:rsidRPr="002F5363">
        <w:t xml:space="preserve"> </w:t>
      </w:r>
      <w:r w:rsidRPr="002F5363">
        <w:rPr>
          <w:i/>
        </w:rPr>
        <w:t>CONTEST: The United Kingdom’s Strategy for Countering Terrorism</w:t>
      </w:r>
      <w:r w:rsidRPr="002F5363">
        <w:t xml:space="preserve"> (Cm.9608, London, 2018) para.103.</w:t>
      </w:r>
    </w:p>
  </w:footnote>
  <w:footnote w:id="11">
    <w:p w:rsidR="00997011" w:rsidRPr="002F5363" w:rsidRDefault="00997011" w:rsidP="00EF791A">
      <w:pPr>
        <w:pStyle w:val="FootnoteText"/>
        <w:jc w:val="both"/>
      </w:pPr>
      <w:r w:rsidRPr="002F5363">
        <w:rPr>
          <w:rStyle w:val="FootnoteReference"/>
        </w:rPr>
        <w:footnoteRef/>
      </w:r>
      <w:r w:rsidRPr="002F5363">
        <w:t xml:space="preserve"> </w:t>
      </w:r>
      <w:r w:rsidR="00DC31B4" w:rsidRPr="00280C64">
        <w:rPr>
          <w:i/>
          <w:szCs w:val="24"/>
          <w:lang/>
        </w:rPr>
        <w:t>Cengiz and Others v. Turkey</w:t>
      </w:r>
      <w:r w:rsidR="00DC31B4">
        <w:rPr>
          <w:lang/>
        </w:rPr>
        <w:t xml:space="preserve">, </w:t>
      </w:r>
      <w:r w:rsidRPr="002F5363">
        <w:rPr>
          <w:lang/>
        </w:rPr>
        <w:t>App</w:t>
      </w:r>
      <w:r w:rsidR="00DC31B4">
        <w:rPr>
          <w:lang/>
        </w:rPr>
        <w:t>.</w:t>
      </w:r>
      <w:r w:rsidRPr="002F5363">
        <w:rPr>
          <w:lang/>
        </w:rPr>
        <w:t xml:space="preserve"> nos. 48226/10 and 14027/11, 1 December 2015, paras.49 and 52.</w:t>
      </w:r>
    </w:p>
  </w:footnote>
  <w:footnote w:id="12">
    <w:p w:rsidR="00997011" w:rsidRDefault="00997011" w:rsidP="00EF791A">
      <w:pPr>
        <w:pStyle w:val="FootnoteText"/>
        <w:jc w:val="both"/>
      </w:pPr>
      <w:r>
        <w:rPr>
          <w:rStyle w:val="FootnoteReference"/>
        </w:rPr>
        <w:footnoteRef/>
      </w:r>
      <w:r>
        <w:t xml:space="preserve"> </w:t>
      </w:r>
      <w:proofErr w:type="spellStart"/>
      <w:r w:rsidRPr="00AD2396">
        <w:rPr>
          <w:i/>
        </w:rPr>
        <w:t>Jobe</w:t>
      </w:r>
      <w:proofErr w:type="spellEnd"/>
      <w:r w:rsidRPr="00AD2396">
        <w:rPr>
          <w:i/>
        </w:rPr>
        <w:t xml:space="preserve"> v United Kingdom</w:t>
      </w:r>
      <w:r>
        <w:t xml:space="preserve">, </w:t>
      </w:r>
      <w:r w:rsidRPr="001406B8">
        <w:t>App no 48278/09, 14 June 2011</w:t>
      </w:r>
      <w:r>
        <w:t>.</w:t>
      </w:r>
    </w:p>
  </w:footnote>
  <w:footnote w:id="13">
    <w:p w:rsidR="00343E33" w:rsidRDefault="00343E33" w:rsidP="00343E33">
      <w:pPr>
        <w:pStyle w:val="FootnoteText"/>
        <w:jc w:val="both"/>
      </w:pPr>
      <w:r>
        <w:rPr>
          <w:rStyle w:val="FootnoteReference"/>
        </w:rPr>
        <w:footnoteRef/>
      </w:r>
      <w:r>
        <w:t xml:space="preserve"> Hansard (House of Commons) Public Bill Committee on the </w:t>
      </w:r>
      <w:r w:rsidRPr="006908D4">
        <w:t>Counter-Terrorism and Border Security Bill, Second Sitting, Tuesday 26 June 2018</w:t>
      </w:r>
      <w:r>
        <w:t>, col.41, Ben Wallace.</w:t>
      </w:r>
    </w:p>
  </w:footnote>
  <w:footnote w:id="14">
    <w:p w:rsidR="00997011" w:rsidRDefault="00997011" w:rsidP="00EF791A">
      <w:pPr>
        <w:pStyle w:val="FootnoteText"/>
        <w:jc w:val="both"/>
      </w:pPr>
      <w:r>
        <w:rPr>
          <w:rStyle w:val="FootnoteReference"/>
        </w:rPr>
        <w:footnoteRef/>
      </w:r>
      <w:r>
        <w:t xml:space="preserve"> </w:t>
      </w:r>
      <w:r w:rsidRPr="00BA0859">
        <w:rPr>
          <w:i/>
        </w:rPr>
        <w:t>Exp</w:t>
      </w:r>
      <w:r>
        <w:rPr>
          <w:i/>
        </w:rPr>
        <w:t>l</w:t>
      </w:r>
      <w:r w:rsidRPr="00BA0859">
        <w:rPr>
          <w:i/>
        </w:rPr>
        <w:t>anatory Memorandum</w:t>
      </w:r>
      <w:r>
        <w:t>, para.37.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2" w:rsidRDefault="00D57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2" w:rsidRDefault="00D578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2" w:rsidRDefault="00D57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617505"/>
    <w:multiLevelType w:val="hybridMultilevel"/>
    <w:tmpl w:val="514E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2768A"/>
    <w:multiLevelType w:val="hybridMultilevel"/>
    <w:tmpl w:val="9EBA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B110B"/>
    <w:multiLevelType w:val="hybridMultilevel"/>
    <w:tmpl w:val="0D86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270B1"/>
    <w:multiLevelType w:val="hybridMultilevel"/>
    <w:tmpl w:val="FC7E25CE"/>
    <w:lvl w:ilvl="0" w:tplc="4F18D682">
      <w:start w:val="1"/>
      <w:numFmt w:val="decimal"/>
      <w:pStyle w:val="Endnote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13"/>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1"/>
  <w:proofState w:spelling="clean" w:grammar="clean"/>
  <w:stylePaneFormatFilter w:val="1001"/>
  <w:defaultTabStop w:val="720"/>
  <w:characterSpacingControl w:val="doNotCompress"/>
  <w:footnotePr>
    <w:footnote w:id="-1"/>
    <w:footnote w:id="0"/>
  </w:footnotePr>
  <w:endnotePr>
    <w:endnote w:id="-1"/>
    <w:endnote w:id="0"/>
  </w:endnotePr>
  <w:compat/>
  <w:rsids>
    <w:rsidRoot w:val="00BA33D3"/>
    <w:rsid w:val="00046A85"/>
    <w:rsid w:val="00066D58"/>
    <w:rsid w:val="00076CCB"/>
    <w:rsid w:val="000A0CAB"/>
    <w:rsid w:val="000A395C"/>
    <w:rsid w:val="000A5E96"/>
    <w:rsid w:val="000B00BC"/>
    <w:rsid w:val="000D5A2D"/>
    <w:rsid w:val="00106EAD"/>
    <w:rsid w:val="00151881"/>
    <w:rsid w:val="0015788D"/>
    <w:rsid w:val="0018495C"/>
    <w:rsid w:val="00186190"/>
    <w:rsid w:val="001C2F45"/>
    <w:rsid w:val="001E79B5"/>
    <w:rsid w:val="00217EEB"/>
    <w:rsid w:val="00234CC3"/>
    <w:rsid w:val="00236D05"/>
    <w:rsid w:val="00271809"/>
    <w:rsid w:val="00273123"/>
    <w:rsid w:val="00280105"/>
    <w:rsid w:val="00280C64"/>
    <w:rsid w:val="00296B5E"/>
    <w:rsid w:val="002A237B"/>
    <w:rsid w:val="002F3886"/>
    <w:rsid w:val="0032343E"/>
    <w:rsid w:val="00323EB3"/>
    <w:rsid w:val="00330467"/>
    <w:rsid w:val="003400F1"/>
    <w:rsid w:val="00343E33"/>
    <w:rsid w:val="00347E2F"/>
    <w:rsid w:val="00357FCC"/>
    <w:rsid w:val="0037272D"/>
    <w:rsid w:val="003776C7"/>
    <w:rsid w:val="00383830"/>
    <w:rsid w:val="003A604A"/>
    <w:rsid w:val="003C0C11"/>
    <w:rsid w:val="003C720F"/>
    <w:rsid w:val="00416AA0"/>
    <w:rsid w:val="00421470"/>
    <w:rsid w:val="00433DD5"/>
    <w:rsid w:val="0045025F"/>
    <w:rsid w:val="00481B4E"/>
    <w:rsid w:val="004A2683"/>
    <w:rsid w:val="004A499B"/>
    <w:rsid w:val="004C5D53"/>
    <w:rsid w:val="004D66CF"/>
    <w:rsid w:val="005223BD"/>
    <w:rsid w:val="00546A84"/>
    <w:rsid w:val="0056264E"/>
    <w:rsid w:val="0059585A"/>
    <w:rsid w:val="005B0D14"/>
    <w:rsid w:val="005B424D"/>
    <w:rsid w:val="005D03ED"/>
    <w:rsid w:val="005F65FF"/>
    <w:rsid w:val="006036EB"/>
    <w:rsid w:val="0063692D"/>
    <w:rsid w:val="0064186F"/>
    <w:rsid w:val="006422C8"/>
    <w:rsid w:val="0064632D"/>
    <w:rsid w:val="00664E25"/>
    <w:rsid w:val="006908D4"/>
    <w:rsid w:val="006F163E"/>
    <w:rsid w:val="00702CE8"/>
    <w:rsid w:val="00740A03"/>
    <w:rsid w:val="00752436"/>
    <w:rsid w:val="00761FD1"/>
    <w:rsid w:val="008064E7"/>
    <w:rsid w:val="008477A9"/>
    <w:rsid w:val="00873D7B"/>
    <w:rsid w:val="00880119"/>
    <w:rsid w:val="00890E90"/>
    <w:rsid w:val="00894A98"/>
    <w:rsid w:val="008A328B"/>
    <w:rsid w:val="008A47C7"/>
    <w:rsid w:val="008A6CAF"/>
    <w:rsid w:val="008D1EA5"/>
    <w:rsid w:val="008E34C5"/>
    <w:rsid w:val="008F2132"/>
    <w:rsid w:val="0091059B"/>
    <w:rsid w:val="00930117"/>
    <w:rsid w:val="0095091E"/>
    <w:rsid w:val="009758E2"/>
    <w:rsid w:val="00997011"/>
    <w:rsid w:val="009E5736"/>
    <w:rsid w:val="00A178D7"/>
    <w:rsid w:val="00A21F63"/>
    <w:rsid w:val="00A36CF5"/>
    <w:rsid w:val="00A65DD0"/>
    <w:rsid w:val="00A754DA"/>
    <w:rsid w:val="00A7684C"/>
    <w:rsid w:val="00A82C78"/>
    <w:rsid w:val="00A943D3"/>
    <w:rsid w:val="00AA18C5"/>
    <w:rsid w:val="00AB2BF4"/>
    <w:rsid w:val="00AC0CD8"/>
    <w:rsid w:val="00AD1B4C"/>
    <w:rsid w:val="00AD2396"/>
    <w:rsid w:val="00AD3173"/>
    <w:rsid w:val="00AF43E3"/>
    <w:rsid w:val="00AF6A52"/>
    <w:rsid w:val="00B0149D"/>
    <w:rsid w:val="00B047E9"/>
    <w:rsid w:val="00B23E4E"/>
    <w:rsid w:val="00B3772F"/>
    <w:rsid w:val="00B73992"/>
    <w:rsid w:val="00B7564E"/>
    <w:rsid w:val="00B76069"/>
    <w:rsid w:val="00BA0859"/>
    <w:rsid w:val="00BA33D3"/>
    <w:rsid w:val="00BA43AC"/>
    <w:rsid w:val="00BE54D6"/>
    <w:rsid w:val="00BF7325"/>
    <w:rsid w:val="00BF7C01"/>
    <w:rsid w:val="00C43089"/>
    <w:rsid w:val="00C54C41"/>
    <w:rsid w:val="00C615E7"/>
    <w:rsid w:val="00C96533"/>
    <w:rsid w:val="00CA14DE"/>
    <w:rsid w:val="00CA16AA"/>
    <w:rsid w:val="00CA19CD"/>
    <w:rsid w:val="00CC5D18"/>
    <w:rsid w:val="00CE0FE3"/>
    <w:rsid w:val="00CF5EBD"/>
    <w:rsid w:val="00D00D33"/>
    <w:rsid w:val="00D03D34"/>
    <w:rsid w:val="00D11E15"/>
    <w:rsid w:val="00D14CF1"/>
    <w:rsid w:val="00D45BDB"/>
    <w:rsid w:val="00D56E9E"/>
    <w:rsid w:val="00D57882"/>
    <w:rsid w:val="00D72F50"/>
    <w:rsid w:val="00D810FD"/>
    <w:rsid w:val="00D8137F"/>
    <w:rsid w:val="00D9484D"/>
    <w:rsid w:val="00DA3DAC"/>
    <w:rsid w:val="00DB11CB"/>
    <w:rsid w:val="00DC31B4"/>
    <w:rsid w:val="00DC4791"/>
    <w:rsid w:val="00DE2E7B"/>
    <w:rsid w:val="00E01EA4"/>
    <w:rsid w:val="00E057DF"/>
    <w:rsid w:val="00E209F2"/>
    <w:rsid w:val="00E24C90"/>
    <w:rsid w:val="00E25F88"/>
    <w:rsid w:val="00E72563"/>
    <w:rsid w:val="00E86ACE"/>
    <w:rsid w:val="00E92808"/>
    <w:rsid w:val="00E9582A"/>
    <w:rsid w:val="00EA6B2A"/>
    <w:rsid w:val="00EB329E"/>
    <w:rsid w:val="00EB66B1"/>
    <w:rsid w:val="00EC2863"/>
    <w:rsid w:val="00EC7DF5"/>
    <w:rsid w:val="00ED4A22"/>
    <w:rsid w:val="00EF791A"/>
    <w:rsid w:val="00F00825"/>
    <w:rsid w:val="00F065F2"/>
    <w:rsid w:val="00F33A71"/>
    <w:rsid w:val="00F367F1"/>
    <w:rsid w:val="00F41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footnote reference"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F5"/>
    <w:pPr>
      <w:spacing w:line="240" w:lineRule="auto"/>
      <w:jc w:val="left"/>
    </w:pPr>
    <w:rPr>
      <w:rFonts w:ascii="Times New Roman" w:hAnsi="Times New Roman"/>
      <w:sz w:val="24"/>
      <w:lang w:val="en-GB"/>
    </w:rPr>
  </w:style>
  <w:style w:type="paragraph" w:styleId="Heading1">
    <w:name w:val="heading 1"/>
    <w:basedOn w:val="Normal"/>
    <w:next w:val="Normal"/>
    <w:link w:val="Heading1Char"/>
    <w:uiPriority w:val="9"/>
    <w:qFormat/>
    <w:rsid w:val="00E25F88"/>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25F88"/>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E25F88"/>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25F88"/>
    <w:pPr>
      <w:spacing w:line="271" w:lineRule="auto"/>
      <w:outlineLvl w:val="3"/>
    </w:pPr>
    <w:rPr>
      <w:b/>
      <w:bCs/>
      <w:spacing w:val="5"/>
      <w:szCs w:val="24"/>
    </w:rPr>
  </w:style>
  <w:style w:type="paragraph" w:styleId="Heading5">
    <w:name w:val="heading 5"/>
    <w:basedOn w:val="Normal"/>
    <w:next w:val="Normal"/>
    <w:link w:val="Heading5Char"/>
    <w:uiPriority w:val="9"/>
    <w:unhideWhenUsed/>
    <w:qFormat/>
    <w:rsid w:val="00E25F88"/>
    <w:pPr>
      <w:spacing w:line="271" w:lineRule="auto"/>
      <w:outlineLvl w:val="4"/>
    </w:pPr>
    <w:rPr>
      <w:i/>
      <w:iCs/>
      <w:szCs w:val="24"/>
    </w:rPr>
  </w:style>
  <w:style w:type="paragraph" w:styleId="Heading6">
    <w:name w:val="heading 6"/>
    <w:basedOn w:val="Normal"/>
    <w:next w:val="Normal"/>
    <w:link w:val="Heading6Char"/>
    <w:uiPriority w:val="9"/>
    <w:unhideWhenUsed/>
    <w:qFormat/>
    <w:rsid w:val="00E25F88"/>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E25F88"/>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25F88"/>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25F88"/>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5223BD"/>
    <w:pPr>
      <w:keepNext/>
    </w:pPr>
    <w:rPr>
      <w:b/>
    </w:rPr>
  </w:style>
  <w:style w:type="character" w:customStyle="1" w:styleId="SubheadingChar">
    <w:name w:val="Subheading Char"/>
    <w:basedOn w:val="DefaultParagraphFont"/>
    <w:link w:val="Subheading"/>
    <w:rsid w:val="005223BD"/>
    <w:rPr>
      <w:rFonts w:ascii="Times New Roman" w:hAnsi="Times New Roman"/>
      <w:b/>
    </w:rPr>
  </w:style>
  <w:style w:type="paragraph" w:styleId="Caption">
    <w:name w:val="caption"/>
    <w:basedOn w:val="Normal"/>
    <w:next w:val="Normal"/>
    <w:semiHidden/>
    <w:unhideWhenUsed/>
    <w:rsid w:val="003776C7"/>
    <w:pPr>
      <w:widowControl w:val="0"/>
      <w:autoSpaceDE w:val="0"/>
      <w:autoSpaceDN w:val="0"/>
      <w:adjustRightInd w:val="0"/>
    </w:pPr>
    <w:rPr>
      <w:b/>
      <w:bCs/>
      <w:color w:val="5B9BD5" w:themeColor="accent1"/>
      <w:sz w:val="18"/>
      <w:szCs w:val="18"/>
      <w:lang w:eastAsia="en-GB"/>
    </w:rPr>
  </w:style>
  <w:style w:type="paragraph" w:styleId="Title">
    <w:name w:val="Title"/>
    <w:basedOn w:val="Normal"/>
    <w:next w:val="Normal"/>
    <w:link w:val="TitleChar"/>
    <w:uiPriority w:val="10"/>
    <w:qFormat/>
    <w:rsid w:val="00E25F88"/>
    <w:pPr>
      <w:spacing w:after="300"/>
      <w:contextualSpacing/>
    </w:pPr>
    <w:rPr>
      <w:smallCaps/>
      <w:sz w:val="52"/>
      <w:szCs w:val="52"/>
    </w:rPr>
  </w:style>
  <w:style w:type="character" w:customStyle="1" w:styleId="TitleChar">
    <w:name w:val="Title Char"/>
    <w:basedOn w:val="DefaultParagraphFont"/>
    <w:link w:val="Title"/>
    <w:uiPriority w:val="10"/>
    <w:rsid w:val="00E25F88"/>
    <w:rPr>
      <w:smallCaps/>
      <w:sz w:val="52"/>
      <w:szCs w:val="52"/>
    </w:rPr>
  </w:style>
  <w:style w:type="paragraph" w:styleId="Subtitle">
    <w:name w:val="Subtitle"/>
    <w:basedOn w:val="Normal"/>
    <w:next w:val="Normal"/>
    <w:link w:val="SubtitleChar"/>
    <w:uiPriority w:val="11"/>
    <w:qFormat/>
    <w:rsid w:val="00E25F88"/>
    <w:rPr>
      <w:i/>
      <w:iCs/>
      <w:smallCaps/>
      <w:spacing w:val="10"/>
      <w:sz w:val="28"/>
      <w:szCs w:val="28"/>
    </w:rPr>
  </w:style>
  <w:style w:type="character" w:customStyle="1" w:styleId="SubtitleChar">
    <w:name w:val="Subtitle Char"/>
    <w:basedOn w:val="DefaultParagraphFont"/>
    <w:link w:val="Subtitle"/>
    <w:uiPriority w:val="11"/>
    <w:rsid w:val="00E25F88"/>
    <w:rPr>
      <w:i/>
      <w:iCs/>
      <w:smallCaps/>
      <w:spacing w:val="10"/>
      <w:sz w:val="28"/>
      <w:szCs w:val="28"/>
    </w:rPr>
  </w:style>
  <w:style w:type="character" w:customStyle="1" w:styleId="Heading1Char">
    <w:name w:val="Heading 1 Char"/>
    <w:basedOn w:val="DefaultParagraphFont"/>
    <w:link w:val="Heading1"/>
    <w:uiPriority w:val="9"/>
    <w:rsid w:val="00E25F88"/>
    <w:rPr>
      <w:smallCaps/>
      <w:spacing w:val="5"/>
      <w:sz w:val="36"/>
      <w:szCs w:val="36"/>
    </w:rPr>
  </w:style>
  <w:style w:type="character" w:customStyle="1" w:styleId="Heading2Char">
    <w:name w:val="Heading 2 Char"/>
    <w:basedOn w:val="DefaultParagraphFont"/>
    <w:link w:val="Heading2"/>
    <w:uiPriority w:val="9"/>
    <w:rsid w:val="00E25F88"/>
    <w:rPr>
      <w:smallCaps/>
      <w:sz w:val="28"/>
      <w:szCs w:val="28"/>
    </w:rPr>
  </w:style>
  <w:style w:type="character" w:customStyle="1" w:styleId="Heading3Char">
    <w:name w:val="Heading 3 Char"/>
    <w:basedOn w:val="DefaultParagraphFont"/>
    <w:link w:val="Heading3"/>
    <w:uiPriority w:val="9"/>
    <w:rsid w:val="00E25F88"/>
    <w:rPr>
      <w:i/>
      <w:iCs/>
      <w:smallCaps/>
      <w:spacing w:val="5"/>
      <w:sz w:val="26"/>
      <w:szCs w:val="26"/>
    </w:rPr>
  </w:style>
  <w:style w:type="character" w:customStyle="1" w:styleId="Heading4Char">
    <w:name w:val="Heading 4 Char"/>
    <w:basedOn w:val="DefaultParagraphFont"/>
    <w:link w:val="Heading4"/>
    <w:uiPriority w:val="9"/>
    <w:rsid w:val="00E25F88"/>
    <w:rPr>
      <w:b/>
      <w:bCs/>
      <w:spacing w:val="5"/>
      <w:sz w:val="24"/>
      <w:szCs w:val="24"/>
    </w:rPr>
  </w:style>
  <w:style w:type="character" w:customStyle="1" w:styleId="Heading5Char">
    <w:name w:val="Heading 5 Char"/>
    <w:basedOn w:val="DefaultParagraphFont"/>
    <w:link w:val="Heading5"/>
    <w:uiPriority w:val="9"/>
    <w:rsid w:val="00E25F88"/>
    <w:rPr>
      <w:i/>
      <w:iCs/>
      <w:sz w:val="24"/>
      <w:szCs w:val="24"/>
    </w:rPr>
  </w:style>
  <w:style w:type="character" w:customStyle="1" w:styleId="Heading6Char">
    <w:name w:val="Heading 6 Char"/>
    <w:basedOn w:val="DefaultParagraphFont"/>
    <w:link w:val="Heading6"/>
    <w:uiPriority w:val="9"/>
    <w:rsid w:val="00E25F88"/>
    <w:rPr>
      <w:b/>
      <w:bCs/>
      <w:color w:val="595959" w:themeColor="text1" w:themeTint="A6"/>
      <w:spacing w:val="5"/>
      <w:shd w:val="clear" w:color="auto" w:fill="FFFFFF" w:themeFill="background1"/>
    </w:rPr>
  </w:style>
  <w:style w:type="paragraph" w:styleId="Quote">
    <w:name w:val="Quote"/>
    <w:basedOn w:val="Normal"/>
    <w:next w:val="Normal"/>
    <w:link w:val="QuoteChar"/>
    <w:uiPriority w:val="29"/>
    <w:qFormat/>
    <w:rsid w:val="00E25F88"/>
    <w:rPr>
      <w:i/>
      <w:iCs/>
    </w:rPr>
  </w:style>
  <w:style w:type="character" w:customStyle="1" w:styleId="QuoteChar">
    <w:name w:val="Quote Char"/>
    <w:basedOn w:val="DefaultParagraphFont"/>
    <w:link w:val="Quote"/>
    <w:uiPriority w:val="29"/>
    <w:rsid w:val="00E25F88"/>
    <w:rPr>
      <w:i/>
      <w:iCs/>
    </w:rPr>
  </w:style>
  <w:style w:type="character" w:customStyle="1" w:styleId="QuoteChar1">
    <w:name w:val="Quote Char1"/>
    <w:basedOn w:val="DefaultParagraphFont"/>
    <w:uiPriority w:val="29"/>
    <w:rsid w:val="003776C7"/>
    <w:rPr>
      <w:rFonts w:ascii="Times New Roman" w:eastAsiaTheme="minorEastAsia" w:hAnsi="Times New Roman"/>
      <w:i/>
      <w:iCs/>
      <w:color w:val="000000" w:themeColor="text1"/>
      <w:sz w:val="24"/>
      <w:szCs w:val="24"/>
      <w:lang w:eastAsia="en-GB"/>
    </w:rPr>
  </w:style>
  <w:style w:type="paragraph" w:styleId="ListBullet">
    <w:name w:val="List Bullet"/>
    <w:basedOn w:val="Normal"/>
    <w:uiPriority w:val="99"/>
    <w:semiHidden/>
    <w:unhideWhenUsed/>
    <w:rsid w:val="005223BD"/>
    <w:pPr>
      <w:numPr>
        <w:numId w:val="11"/>
      </w:numPr>
      <w:contextualSpacing/>
    </w:pPr>
  </w:style>
  <w:style w:type="paragraph" w:styleId="ListNumber">
    <w:name w:val="List Number"/>
    <w:basedOn w:val="Normal"/>
    <w:uiPriority w:val="99"/>
    <w:semiHidden/>
    <w:unhideWhenUsed/>
    <w:rsid w:val="005223BD"/>
    <w:pPr>
      <w:numPr>
        <w:numId w:val="12"/>
      </w:numPr>
      <w:contextualSpacing/>
    </w:pPr>
  </w:style>
  <w:style w:type="paragraph" w:styleId="TableofFigures">
    <w:name w:val="table of figures"/>
    <w:basedOn w:val="Normal"/>
    <w:next w:val="Normal"/>
    <w:uiPriority w:val="99"/>
    <w:semiHidden/>
    <w:unhideWhenUsed/>
    <w:rsid w:val="005223BD"/>
  </w:style>
  <w:style w:type="character" w:styleId="IntenseEmphasis">
    <w:name w:val="Intense Emphasis"/>
    <w:uiPriority w:val="21"/>
    <w:qFormat/>
    <w:rsid w:val="00E25F88"/>
    <w:rPr>
      <w:b/>
      <w:bCs/>
      <w:i/>
      <w:iCs/>
    </w:rPr>
  </w:style>
  <w:style w:type="paragraph" w:styleId="IntenseQuote">
    <w:name w:val="Intense Quote"/>
    <w:basedOn w:val="Normal"/>
    <w:next w:val="Normal"/>
    <w:link w:val="IntenseQuoteChar"/>
    <w:uiPriority w:val="30"/>
    <w:qFormat/>
    <w:rsid w:val="00E25F88"/>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25F88"/>
    <w:rPr>
      <w:i/>
      <w:iCs/>
    </w:rPr>
  </w:style>
  <w:style w:type="character" w:styleId="SubtleReference">
    <w:name w:val="Subtle Reference"/>
    <w:basedOn w:val="DefaultParagraphFont"/>
    <w:uiPriority w:val="31"/>
    <w:qFormat/>
    <w:rsid w:val="00E25F88"/>
    <w:rPr>
      <w:smallCaps/>
    </w:rPr>
  </w:style>
  <w:style w:type="character" w:customStyle="1" w:styleId="Heading7Char">
    <w:name w:val="Heading 7 Char"/>
    <w:basedOn w:val="DefaultParagraphFont"/>
    <w:link w:val="Heading7"/>
    <w:uiPriority w:val="9"/>
    <w:rsid w:val="00E25F8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25F88"/>
    <w:rPr>
      <w:b/>
      <w:bCs/>
      <w:color w:val="7F7F7F" w:themeColor="text1" w:themeTint="80"/>
      <w:sz w:val="20"/>
      <w:szCs w:val="20"/>
    </w:rPr>
  </w:style>
  <w:style w:type="character" w:customStyle="1" w:styleId="Heading9Char">
    <w:name w:val="Heading 9 Char"/>
    <w:basedOn w:val="DefaultParagraphFont"/>
    <w:link w:val="Heading9"/>
    <w:uiPriority w:val="9"/>
    <w:semiHidden/>
    <w:rsid w:val="00E25F88"/>
    <w:rPr>
      <w:b/>
      <w:bCs/>
      <w:i/>
      <w:iCs/>
      <w:color w:val="7F7F7F" w:themeColor="text1" w:themeTint="80"/>
      <w:sz w:val="18"/>
      <w:szCs w:val="18"/>
    </w:rPr>
  </w:style>
  <w:style w:type="character" w:styleId="IntenseReference">
    <w:name w:val="Intense Reference"/>
    <w:uiPriority w:val="32"/>
    <w:qFormat/>
    <w:rsid w:val="00E25F88"/>
    <w:rPr>
      <w:b/>
      <w:bCs/>
      <w:smallCaps/>
    </w:rPr>
  </w:style>
  <w:style w:type="paragraph" w:styleId="TOCHeading">
    <w:name w:val="TOC Heading"/>
    <w:basedOn w:val="Heading1"/>
    <w:next w:val="Normal"/>
    <w:uiPriority w:val="39"/>
    <w:semiHidden/>
    <w:unhideWhenUsed/>
    <w:qFormat/>
    <w:rsid w:val="00E25F88"/>
    <w:pPr>
      <w:outlineLvl w:val="9"/>
    </w:pPr>
  </w:style>
  <w:style w:type="paragraph" w:styleId="BlockText">
    <w:name w:val="Block Text"/>
    <w:basedOn w:val="Normal"/>
    <w:uiPriority w:val="99"/>
    <w:semiHidden/>
    <w:unhideWhenUsed/>
    <w:rsid w:val="005223BD"/>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5223BD"/>
    <w:rPr>
      <w:color w:val="auto"/>
    </w:rPr>
  </w:style>
  <w:style w:type="paragraph" w:styleId="TOAHeading">
    <w:name w:val="toa heading"/>
    <w:basedOn w:val="Normal"/>
    <w:next w:val="Normal"/>
    <w:uiPriority w:val="99"/>
    <w:semiHidden/>
    <w:unhideWhenUsed/>
    <w:rsid w:val="005223BD"/>
    <w:rPr>
      <w:b/>
      <w:bCs/>
      <w:sz w:val="28"/>
    </w:rPr>
  </w:style>
  <w:style w:type="paragraph" w:styleId="PlainText">
    <w:name w:val="Plain Text"/>
    <w:basedOn w:val="Normal"/>
    <w:link w:val="PlainTextChar"/>
    <w:uiPriority w:val="99"/>
    <w:unhideWhenUsed/>
    <w:rsid w:val="005223BD"/>
    <w:rPr>
      <w:rFonts w:ascii="Consolas" w:hAnsi="Consolas"/>
      <w:szCs w:val="21"/>
    </w:rPr>
  </w:style>
  <w:style w:type="character" w:customStyle="1" w:styleId="PlainTextChar">
    <w:name w:val="Plain Text Char"/>
    <w:basedOn w:val="DefaultParagraphFont"/>
    <w:link w:val="PlainText"/>
    <w:uiPriority w:val="99"/>
    <w:rsid w:val="005223BD"/>
    <w:rPr>
      <w:rFonts w:ascii="Consolas" w:hAnsi="Consolas"/>
      <w:szCs w:val="21"/>
    </w:rPr>
  </w:style>
  <w:style w:type="paragraph" w:styleId="BodyText3">
    <w:name w:val="Body Text 3"/>
    <w:basedOn w:val="Normal"/>
    <w:link w:val="BodyText3Char"/>
    <w:uiPriority w:val="99"/>
    <w:semiHidden/>
    <w:unhideWhenUsed/>
    <w:rsid w:val="005223BD"/>
    <w:pPr>
      <w:spacing w:after="120"/>
    </w:pPr>
    <w:rPr>
      <w:sz w:val="20"/>
      <w:szCs w:val="16"/>
    </w:rPr>
  </w:style>
  <w:style w:type="character" w:customStyle="1" w:styleId="BodyText3Char">
    <w:name w:val="Body Text 3 Char"/>
    <w:basedOn w:val="DefaultParagraphFont"/>
    <w:link w:val="BodyText3"/>
    <w:uiPriority w:val="99"/>
    <w:semiHidden/>
    <w:rsid w:val="005223BD"/>
    <w:rPr>
      <w:rFonts w:ascii="Times New Roman" w:hAnsi="Times New Roman"/>
      <w:sz w:val="20"/>
      <w:szCs w:val="16"/>
    </w:rPr>
  </w:style>
  <w:style w:type="paragraph" w:styleId="BodyText">
    <w:name w:val="Body Text"/>
    <w:basedOn w:val="Normal"/>
    <w:link w:val="BodyTextChar"/>
    <w:uiPriority w:val="99"/>
    <w:unhideWhenUsed/>
    <w:rsid w:val="003776C7"/>
    <w:pPr>
      <w:widowControl w:val="0"/>
      <w:autoSpaceDE w:val="0"/>
      <w:autoSpaceDN w:val="0"/>
      <w:adjustRightInd w:val="0"/>
      <w:spacing w:after="120"/>
    </w:pPr>
    <w:rPr>
      <w:lang w:eastAsia="en-GB"/>
    </w:rPr>
  </w:style>
  <w:style w:type="character" w:customStyle="1" w:styleId="BodyTextChar">
    <w:name w:val="Body Text Char"/>
    <w:basedOn w:val="DefaultParagraphFont"/>
    <w:link w:val="BodyText"/>
    <w:uiPriority w:val="99"/>
    <w:rsid w:val="003776C7"/>
    <w:rPr>
      <w:rFonts w:ascii="Times New Roman" w:eastAsiaTheme="minorEastAsia" w:hAnsi="Times New Roman"/>
      <w:sz w:val="24"/>
      <w:szCs w:val="24"/>
      <w:lang w:eastAsia="en-GB"/>
    </w:rPr>
  </w:style>
  <w:style w:type="paragraph" w:styleId="BodyTextFirstIndent">
    <w:name w:val="Body Text First Indent"/>
    <w:basedOn w:val="BodyText"/>
    <w:link w:val="BodyTextFirstIndentChar"/>
    <w:uiPriority w:val="99"/>
    <w:unhideWhenUsed/>
    <w:rsid w:val="005223BD"/>
    <w:pPr>
      <w:spacing w:after="320"/>
      <w:ind w:firstLine="360"/>
    </w:pPr>
  </w:style>
  <w:style w:type="character" w:customStyle="1" w:styleId="BodyTextFirstIndentChar">
    <w:name w:val="Body Text First Indent Char"/>
    <w:basedOn w:val="BodyTextChar"/>
    <w:link w:val="BodyTextFirstIndent"/>
    <w:uiPriority w:val="99"/>
    <w:rsid w:val="005223BD"/>
    <w:rPr>
      <w:rFonts w:ascii="Times New Roman" w:eastAsiaTheme="minorEastAsia" w:hAnsi="Times New Roman"/>
      <w:sz w:val="24"/>
      <w:szCs w:val="24"/>
      <w:lang w:eastAsia="en-GB"/>
    </w:rPr>
  </w:style>
  <w:style w:type="paragraph" w:styleId="BodyTextIndent3">
    <w:name w:val="Body Text Indent 3"/>
    <w:basedOn w:val="Normal"/>
    <w:link w:val="BodyTextIndent3Char"/>
    <w:uiPriority w:val="99"/>
    <w:unhideWhenUsed/>
    <w:rsid w:val="005223BD"/>
    <w:pPr>
      <w:spacing w:after="120"/>
      <w:ind w:left="283"/>
    </w:pPr>
    <w:rPr>
      <w:sz w:val="20"/>
      <w:szCs w:val="16"/>
    </w:rPr>
  </w:style>
  <w:style w:type="character" w:customStyle="1" w:styleId="BodyTextIndent3Char">
    <w:name w:val="Body Text Indent 3 Char"/>
    <w:basedOn w:val="DefaultParagraphFont"/>
    <w:link w:val="BodyTextIndent3"/>
    <w:uiPriority w:val="99"/>
    <w:rsid w:val="005223BD"/>
    <w:rPr>
      <w:rFonts w:ascii="Times New Roman" w:hAnsi="Times New Roman"/>
      <w:sz w:val="20"/>
      <w:szCs w:val="16"/>
    </w:rPr>
  </w:style>
  <w:style w:type="paragraph" w:styleId="DocumentMap">
    <w:name w:val="Document Map"/>
    <w:basedOn w:val="Normal"/>
    <w:link w:val="DocumentMapChar"/>
    <w:uiPriority w:val="99"/>
    <w:semiHidden/>
    <w:unhideWhenUsed/>
    <w:rsid w:val="005223BD"/>
    <w:rPr>
      <w:rFonts w:cs="Tahoma"/>
      <w:szCs w:val="16"/>
    </w:rPr>
  </w:style>
  <w:style w:type="character" w:customStyle="1" w:styleId="DocumentMapChar">
    <w:name w:val="Document Map Char"/>
    <w:basedOn w:val="DefaultParagraphFont"/>
    <w:link w:val="DocumentMap"/>
    <w:uiPriority w:val="99"/>
    <w:semiHidden/>
    <w:rsid w:val="005223BD"/>
    <w:rPr>
      <w:rFonts w:ascii="Times New Roman" w:hAnsi="Times New Roman" w:cs="Tahoma"/>
      <w:szCs w:val="16"/>
    </w:rPr>
  </w:style>
  <w:style w:type="paragraph" w:styleId="EndnoteText">
    <w:name w:val="endnote text"/>
    <w:basedOn w:val="Normal"/>
    <w:link w:val="EndnoteTextChar"/>
    <w:uiPriority w:val="99"/>
    <w:unhideWhenUsed/>
    <w:rsid w:val="00481B4E"/>
    <w:pPr>
      <w:numPr>
        <w:numId w:val="13"/>
      </w:numPr>
    </w:pPr>
    <w:rPr>
      <w:lang w:val="en-US"/>
    </w:rPr>
  </w:style>
  <w:style w:type="character" w:customStyle="1" w:styleId="EndnoteTextChar">
    <w:name w:val="Endnote Text Char"/>
    <w:basedOn w:val="DefaultParagraphFont"/>
    <w:link w:val="EndnoteText"/>
    <w:uiPriority w:val="99"/>
    <w:rsid w:val="00481B4E"/>
    <w:rPr>
      <w:rFonts w:ascii="Times New Roman" w:hAnsi="Times New Roman"/>
      <w:sz w:val="24"/>
    </w:rPr>
  </w:style>
  <w:style w:type="character" w:styleId="Emphasis">
    <w:name w:val="Emphasis"/>
    <w:uiPriority w:val="20"/>
    <w:qFormat/>
    <w:rsid w:val="00E25F88"/>
    <w:rPr>
      <w:b/>
      <w:bCs/>
      <w:i/>
      <w:iCs/>
      <w:spacing w:val="10"/>
    </w:rPr>
  </w:style>
  <w:style w:type="paragraph" w:styleId="EnvelopeReturn">
    <w:name w:val="envelope return"/>
    <w:basedOn w:val="Normal"/>
    <w:uiPriority w:val="99"/>
    <w:semiHidden/>
    <w:unhideWhenUsed/>
    <w:rsid w:val="005223BD"/>
  </w:style>
  <w:style w:type="paragraph" w:styleId="MessageHeader">
    <w:name w:val="Message Header"/>
    <w:basedOn w:val="Normal"/>
    <w:link w:val="MessageHeaderChar"/>
    <w:uiPriority w:val="99"/>
    <w:semiHidden/>
    <w:unhideWhenUsed/>
    <w:rsid w:val="005223B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5223BD"/>
    <w:rPr>
      <w:rFonts w:ascii="Times New Roman" w:eastAsiaTheme="majorEastAsia" w:hAnsi="Times New Roman" w:cstheme="majorBidi"/>
      <w:shd w:val="pct20" w:color="auto" w:fill="auto"/>
    </w:rPr>
  </w:style>
  <w:style w:type="paragraph" w:styleId="NoSpacing">
    <w:name w:val="No Spacing"/>
    <w:basedOn w:val="Normal"/>
    <w:uiPriority w:val="1"/>
    <w:qFormat/>
    <w:rsid w:val="00E25F88"/>
  </w:style>
  <w:style w:type="paragraph" w:styleId="NormalWeb">
    <w:name w:val="Normal (Web)"/>
    <w:basedOn w:val="Normal"/>
    <w:uiPriority w:val="99"/>
    <w:semiHidden/>
    <w:unhideWhenUsed/>
    <w:rsid w:val="005223BD"/>
  </w:style>
  <w:style w:type="paragraph" w:styleId="Index1">
    <w:name w:val="index 1"/>
    <w:basedOn w:val="Normal"/>
    <w:next w:val="Normal"/>
    <w:autoRedefine/>
    <w:uiPriority w:val="99"/>
    <w:semiHidden/>
    <w:unhideWhenUsed/>
    <w:rsid w:val="005223BD"/>
    <w:pPr>
      <w:ind w:left="240" w:hanging="240"/>
    </w:pPr>
  </w:style>
  <w:style w:type="paragraph" w:styleId="IndexHeading">
    <w:name w:val="index heading"/>
    <w:basedOn w:val="Normal"/>
    <w:next w:val="Index1"/>
    <w:uiPriority w:val="99"/>
    <w:semiHidden/>
    <w:unhideWhenUsed/>
    <w:rsid w:val="005223BD"/>
    <w:rPr>
      <w:b/>
      <w:bCs/>
    </w:rPr>
  </w:style>
  <w:style w:type="paragraph" w:styleId="ListParagraph">
    <w:name w:val="List Paragraph"/>
    <w:basedOn w:val="Normal"/>
    <w:uiPriority w:val="34"/>
    <w:qFormat/>
    <w:rsid w:val="00E25F88"/>
    <w:pPr>
      <w:ind w:left="720"/>
      <w:contextualSpacing/>
    </w:pPr>
  </w:style>
  <w:style w:type="character" w:styleId="FootnoteReference">
    <w:name w:val="footnote reference"/>
    <w:aliases w:val="[0],FR,Standard + Block,Erste Zeile:  1 cm,fr,BVI fnr,Footnote number,NO"/>
    <w:basedOn w:val="DefaultParagraphFont"/>
    <w:unhideWhenUsed/>
    <w:qFormat/>
    <w:rsid w:val="00B0149D"/>
    <w:rPr>
      <w:rFonts w:ascii="Times New Roman" w:hAnsi="Times New Roman"/>
      <w:sz w:val="24"/>
      <w:vertAlign w:val="superscript"/>
    </w:rPr>
  </w:style>
  <w:style w:type="character" w:customStyle="1" w:styleId="Stylecomputer-txtcCourierNew">
    <w:name w:val="Style computer-txtc + Courier New"/>
    <w:basedOn w:val="DefaultParagraphFont"/>
    <w:rsid w:val="00E9582A"/>
    <w:rPr>
      <w:rFonts w:ascii="Times New Roman" w:hAnsi="Times New Roman"/>
      <w:color w:val="000000"/>
      <w:sz w:val="24"/>
      <w:vertAlign w:val="superscript"/>
    </w:rPr>
  </w:style>
  <w:style w:type="paragraph" w:customStyle="1" w:styleId="TableParagraph">
    <w:name w:val="Table Paragraph"/>
    <w:basedOn w:val="Normal"/>
    <w:uiPriority w:val="1"/>
    <w:rsid w:val="003776C7"/>
    <w:pPr>
      <w:widowControl w:val="0"/>
      <w:autoSpaceDE w:val="0"/>
      <w:autoSpaceDN w:val="0"/>
      <w:adjustRightInd w:val="0"/>
    </w:pPr>
    <w:rPr>
      <w:lang w:eastAsia="en-GB"/>
    </w:rPr>
  </w:style>
  <w:style w:type="character" w:styleId="Strong">
    <w:name w:val="Strong"/>
    <w:uiPriority w:val="22"/>
    <w:qFormat/>
    <w:rsid w:val="00E25F88"/>
    <w:rPr>
      <w:b/>
      <w:bCs/>
    </w:rPr>
  </w:style>
  <w:style w:type="character" w:styleId="SubtleEmphasis">
    <w:name w:val="Subtle Emphasis"/>
    <w:uiPriority w:val="19"/>
    <w:qFormat/>
    <w:rsid w:val="00E25F88"/>
    <w:rPr>
      <w:i/>
      <w:iCs/>
    </w:rPr>
  </w:style>
  <w:style w:type="character" w:styleId="BookTitle">
    <w:name w:val="Book Title"/>
    <w:basedOn w:val="DefaultParagraphFont"/>
    <w:uiPriority w:val="33"/>
    <w:qFormat/>
    <w:rsid w:val="00E25F88"/>
    <w:rPr>
      <w:i/>
      <w:iCs/>
      <w:smallCaps/>
      <w:spacing w:val="5"/>
    </w:rPr>
  </w:style>
  <w:style w:type="table" w:styleId="TableGrid">
    <w:name w:val="Table Grid"/>
    <w:basedOn w:val="TableNormal"/>
    <w:uiPriority w:val="59"/>
    <w:rsid w:val="00BA33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33D3"/>
    <w:pPr>
      <w:tabs>
        <w:tab w:val="center" w:pos="4513"/>
        <w:tab w:val="right" w:pos="9026"/>
      </w:tabs>
    </w:pPr>
  </w:style>
  <w:style w:type="character" w:customStyle="1" w:styleId="FooterChar">
    <w:name w:val="Footer Char"/>
    <w:basedOn w:val="DefaultParagraphFont"/>
    <w:link w:val="Footer"/>
    <w:uiPriority w:val="99"/>
    <w:rsid w:val="00BA33D3"/>
    <w:rPr>
      <w:rFonts w:ascii="Times New Roman" w:hAnsi="Times New Roman"/>
      <w:sz w:val="24"/>
      <w:lang w:val="en-GB"/>
    </w:rPr>
  </w:style>
  <w:style w:type="character" w:styleId="PageNumber">
    <w:name w:val="page number"/>
    <w:basedOn w:val="DefaultParagraphFont"/>
    <w:uiPriority w:val="99"/>
    <w:semiHidden/>
    <w:unhideWhenUsed/>
    <w:rsid w:val="00BA33D3"/>
  </w:style>
  <w:style w:type="paragraph" w:styleId="FootnoteText">
    <w:name w:val="footnote text"/>
    <w:aliases w:val="footnote,Footnote Text Char Char Char Char Char Char Char Char Char Char Char Char Char Char Char Char,Footnote Text Char Char Char Char Char Char Char Char Char Char Char Char Char Char Char,Footnote Text Char1 Char,FA "/>
    <w:basedOn w:val="Normal"/>
    <w:link w:val="FootnoteTextChar1"/>
    <w:uiPriority w:val="99"/>
    <w:qFormat/>
    <w:rsid w:val="00AD2396"/>
    <w:rPr>
      <w:rFonts w:eastAsia="Times New Roman" w:cs="Times New Roman"/>
      <w:sz w:val="20"/>
      <w:szCs w:val="20"/>
      <w:lang w:eastAsia="en-GB" w:bidi="ar-SA"/>
    </w:rPr>
  </w:style>
  <w:style w:type="character" w:customStyle="1" w:styleId="FootnoteTextChar">
    <w:name w:val="Footnote Text Char"/>
    <w:basedOn w:val="DefaultParagraphFont"/>
    <w:uiPriority w:val="99"/>
    <w:semiHidden/>
    <w:rsid w:val="00AD2396"/>
    <w:rPr>
      <w:rFonts w:ascii="Times New Roman" w:hAnsi="Times New Roman"/>
      <w:sz w:val="20"/>
      <w:szCs w:val="20"/>
      <w:lang w:val="en-GB"/>
    </w:rPr>
  </w:style>
  <w:style w:type="character" w:customStyle="1" w:styleId="FootnoteTextChar1">
    <w:name w:val="Footnote Text Char1"/>
    <w:aliases w:val="footnote Char,Footnote Text Char Char Char Char Char Char Char Char Char Char Char Char Char Char Char Char Char,Footnote Text Char Char Char Char Char Char Char Char Char Char Char Char Char Char Char Char1,FA  Char"/>
    <w:link w:val="FootnoteText"/>
    <w:rsid w:val="00AD2396"/>
    <w:rPr>
      <w:rFonts w:ascii="Times New Roman" w:eastAsia="Times New Roman" w:hAnsi="Times New Roman" w:cs="Times New Roman"/>
      <w:sz w:val="20"/>
      <w:szCs w:val="20"/>
      <w:lang w:val="en-GB" w:eastAsia="en-GB" w:bidi="ar-SA"/>
    </w:rPr>
  </w:style>
  <w:style w:type="paragraph" w:customStyle="1" w:styleId="Default">
    <w:name w:val="Default"/>
    <w:rsid w:val="00AB2BF4"/>
    <w:pPr>
      <w:autoSpaceDE w:val="0"/>
      <w:autoSpaceDN w:val="0"/>
      <w:adjustRightInd w:val="0"/>
      <w:spacing w:line="240" w:lineRule="auto"/>
      <w:jc w:val="left"/>
    </w:pPr>
    <w:rPr>
      <w:rFonts w:ascii="Palatino Linotype" w:hAnsi="Palatino Linotype" w:cs="Palatino Linotype"/>
      <w:color w:val="000000"/>
      <w:sz w:val="24"/>
      <w:szCs w:val="24"/>
      <w:lang w:val="en-GB" w:bidi="ar-SA"/>
    </w:rPr>
  </w:style>
  <w:style w:type="paragraph" w:styleId="Header">
    <w:name w:val="header"/>
    <w:basedOn w:val="Normal"/>
    <w:link w:val="HeaderChar"/>
    <w:uiPriority w:val="99"/>
    <w:unhideWhenUsed/>
    <w:rsid w:val="00546A84"/>
    <w:pPr>
      <w:tabs>
        <w:tab w:val="center" w:pos="4513"/>
        <w:tab w:val="right" w:pos="9026"/>
      </w:tabs>
    </w:pPr>
  </w:style>
  <w:style w:type="character" w:customStyle="1" w:styleId="HeaderChar">
    <w:name w:val="Header Char"/>
    <w:basedOn w:val="DefaultParagraphFont"/>
    <w:link w:val="Header"/>
    <w:uiPriority w:val="99"/>
    <w:rsid w:val="00546A84"/>
    <w:rPr>
      <w:rFonts w:ascii="Times New Roman" w:hAnsi="Times New Roman"/>
      <w:sz w:val="24"/>
      <w:lang w:val="en-GB"/>
    </w:rPr>
  </w:style>
  <w:style w:type="character" w:styleId="Hyperlink">
    <w:name w:val="Hyperlink"/>
    <w:basedOn w:val="DefaultParagraphFont"/>
    <w:uiPriority w:val="99"/>
    <w:unhideWhenUsed/>
    <w:rsid w:val="00E72563"/>
    <w:rPr>
      <w:color w:val="0563C1" w:themeColor="hyperlink"/>
      <w:u w:val="single"/>
    </w:rPr>
  </w:style>
  <w:style w:type="character" w:customStyle="1" w:styleId="UnresolvedMention">
    <w:name w:val="Unresolved Mention"/>
    <w:basedOn w:val="DefaultParagraphFont"/>
    <w:uiPriority w:val="99"/>
    <w:semiHidden/>
    <w:unhideWhenUsed/>
    <w:rsid w:val="00E725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hill@18rl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8CC6-DD85-430F-A0AF-43AB5D28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Fatima</cp:lastModifiedBy>
  <cp:revision>2</cp:revision>
  <dcterms:created xsi:type="dcterms:W3CDTF">2018-07-09T09:04:00Z</dcterms:created>
  <dcterms:modified xsi:type="dcterms:W3CDTF">2018-07-09T09:04:00Z</dcterms:modified>
</cp:coreProperties>
</file>